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D63E07" w14:textId="77777777" w:rsidR="00F42A43" w:rsidRDefault="00F42A43" w:rsidP="00F42A43">
      <w:pPr>
        <w:pStyle w:val="NormalWeb"/>
        <w:rPr>
          <w:color w:val="000000"/>
          <w:sz w:val="27"/>
          <w:szCs w:val="27"/>
        </w:rPr>
      </w:pPr>
      <w:bookmarkStart w:id="0" w:name="_GoBack"/>
      <w:bookmarkEnd w:id="0"/>
      <w:r>
        <w:rPr>
          <w:color w:val="000000"/>
          <w:sz w:val="27"/>
          <w:szCs w:val="27"/>
        </w:rPr>
        <w:t>How Important are the Kerala School’s Discoveries to Modern-day Mathematics?</w:t>
      </w:r>
    </w:p>
    <w:p w14:paraId="1C166065" w14:textId="219B5CA6" w:rsidR="00F42A43" w:rsidRDefault="00F42A43" w:rsidP="00F42A43">
      <w:pPr>
        <w:pStyle w:val="NormalWeb"/>
        <w:rPr>
          <w:color w:val="000000"/>
          <w:sz w:val="27"/>
          <w:szCs w:val="27"/>
        </w:rPr>
      </w:pPr>
      <w:r>
        <w:rPr>
          <w:color w:val="000000"/>
          <w:sz w:val="27"/>
          <w:szCs w:val="27"/>
        </w:rPr>
        <w:t xml:space="preserve">The Kerala School of Astronomy and Mathematics was an Indian school founded by Madhava of </w:t>
      </w:r>
      <w:proofErr w:type="spellStart"/>
      <w:r>
        <w:rPr>
          <w:color w:val="000000"/>
          <w:sz w:val="27"/>
          <w:szCs w:val="27"/>
        </w:rPr>
        <w:t>Sangamagrama</w:t>
      </w:r>
      <w:proofErr w:type="spellEnd"/>
      <w:r>
        <w:rPr>
          <w:color w:val="000000"/>
          <w:sz w:val="27"/>
          <w:szCs w:val="27"/>
        </w:rPr>
        <w:t xml:space="preserve"> in Kerala sometime around the 14th century</w:t>
      </w:r>
      <w:sdt>
        <w:sdtPr>
          <w:rPr>
            <w:color w:val="000000"/>
            <w:sz w:val="27"/>
            <w:szCs w:val="27"/>
          </w:rPr>
          <w:id w:val="158580032"/>
          <w:citation/>
        </w:sdtPr>
        <w:sdtContent>
          <w:r>
            <w:rPr>
              <w:color w:val="000000"/>
              <w:sz w:val="27"/>
              <w:szCs w:val="27"/>
            </w:rPr>
            <w:fldChar w:fldCharType="begin"/>
          </w:r>
          <w:r>
            <w:rPr>
              <w:color w:val="000000"/>
              <w:sz w:val="27"/>
              <w:szCs w:val="27"/>
              <w:lang w:val="en-US"/>
            </w:rPr>
            <w:instrText xml:space="preserve"> CITATION Pho14 \l 1033 </w:instrText>
          </w:r>
          <w:r>
            <w:rPr>
              <w:color w:val="000000"/>
              <w:sz w:val="27"/>
              <w:szCs w:val="27"/>
            </w:rPr>
            <w:fldChar w:fldCharType="separate"/>
          </w:r>
          <w:r>
            <w:rPr>
              <w:noProof/>
              <w:color w:val="000000"/>
              <w:sz w:val="27"/>
              <w:szCs w:val="27"/>
              <w:lang w:val="en-US"/>
            </w:rPr>
            <w:t xml:space="preserve"> </w:t>
          </w:r>
          <w:r w:rsidRPr="00F42A43">
            <w:rPr>
              <w:noProof/>
              <w:color w:val="000000"/>
              <w:sz w:val="27"/>
              <w:szCs w:val="27"/>
              <w:lang w:val="en-US"/>
            </w:rPr>
            <w:t>(Webb, 2014)</w:t>
          </w:r>
          <w:r>
            <w:rPr>
              <w:color w:val="000000"/>
              <w:sz w:val="27"/>
              <w:szCs w:val="27"/>
            </w:rPr>
            <w:fldChar w:fldCharType="end"/>
          </w:r>
        </w:sdtContent>
      </w:sdt>
      <w:r>
        <w:rPr>
          <w:color w:val="000000"/>
          <w:sz w:val="27"/>
          <w:szCs w:val="27"/>
        </w:rPr>
        <w:t>. The first examples of power series, as well as what would now be called Maclaurin Series were discovered here, amazingly without any knowledge of differential or integral calculus. It is sometimes claimed that Newton and Leibniz (The founders of calculus) took inspiration from the Kerala school, however there is no evidence of any communications of ideas from Kerala to European Mathematicians until at least the 19th century. How the Indians were so far ahead of others in mathematics as well as why they never developed their ideas further will be covered in this essay.</w:t>
      </w:r>
    </w:p>
    <w:p w14:paraId="217CD1F8" w14:textId="77777777" w:rsidR="00F42A43" w:rsidRDefault="00F42A43" w:rsidP="00F42A43">
      <w:pPr>
        <w:pStyle w:val="NormalWeb"/>
        <w:rPr>
          <w:color w:val="000000"/>
          <w:sz w:val="27"/>
          <w:szCs w:val="27"/>
        </w:rPr>
      </w:pPr>
      <w:r>
        <w:rPr>
          <w:color w:val="000000"/>
          <w:sz w:val="27"/>
          <w:szCs w:val="27"/>
        </w:rPr>
        <w:t xml:space="preserve">Most of the Kerala School’s discoveries were written in the </w:t>
      </w:r>
      <w:proofErr w:type="spellStart"/>
      <w:r>
        <w:rPr>
          <w:color w:val="000000"/>
          <w:sz w:val="27"/>
          <w:szCs w:val="27"/>
        </w:rPr>
        <w:t>Tantrasamgraha</w:t>
      </w:r>
      <w:proofErr w:type="spellEnd"/>
      <w:r>
        <w:rPr>
          <w:color w:val="000000"/>
          <w:sz w:val="27"/>
          <w:szCs w:val="27"/>
        </w:rPr>
        <w:t xml:space="preserve"> by </w:t>
      </w:r>
      <w:proofErr w:type="spellStart"/>
      <w:r>
        <w:rPr>
          <w:color w:val="000000"/>
          <w:sz w:val="27"/>
          <w:szCs w:val="27"/>
        </w:rPr>
        <w:t>Nilakantha</w:t>
      </w:r>
      <w:proofErr w:type="spellEnd"/>
      <w:r>
        <w:rPr>
          <w:color w:val="000000"/>
          <w:sz w:val="27"/>
          <w:szCs w:val="27"/>
        </w:rPr>
        <w:t xml:space="preserve"> </w:t>
      </w:r>
      <w:proofErr w:type="spellStart"/>
      <w:r>
        <w:rPr>
          <w:color w:val="000000"/>
          <w:sz w:val="27"/>
          <w:szCs w:val="27"/>
        </w:rPr>
        <w:t>Somayaji</w:t>
      </w:r>
      <w:proofErr w:type="spellEnd"/>
      <w:r>
        <w:rPr>
          <w:color w:val="000000"/>
          <w:sz w:val="27"/>
          <w:szCs w:val="27"/>
        </w:rPr>
        <w:t xml:space="preserve"> in 1500-01 AD. However, this was written in the Ancient Indian language of Sanskrit and was not translated to English until Charles Whish in 1834. In this work, which combines theorems and proofs from numerous mathematicians including Madhava, there are several infinite series presented, including for the trigonometric functions of sine and cosine as well as the first recorded infinite series for pi. This is important as it showed that Indian mathematicians had known about these series some 300 years before European mathematicians and did so without the calculus which was fundamental to the European understanding, which was discovered by James Gregory in 1715 and known as Taylor series (named after Brook Taylor who found a general method for constructing them).</w:t>
      </w:r>
    </w:p>
    <w:p w14:paraId="4C8FD150" w14:textId="77777777" w:rsidR="00F42A43" w:rsidRDefault="00F42A43" w:rsidP="00F42A43">
      <w:pPr>
        <w:pStyle w:val="NormalWeb"/>
        <w:rPr>
          <w:color w:val="000000"/>
          <w:sz w:val="27"/>
          <w:szCs w:val="27"/>
        </w:rPr>
      </w:pPr>
      <w:r>
        <w:rPr>
          <w:color w:val="000000"/>
          <w:sz w:val="27"/>
          <w:szCs w:val="27"/>
        </w:rPr>
        <w:t>In fact, many European mathematicians presumed that the only way to construct Taylor series was with an understanding of calculus, leading to speculation that the Kerala School had also discovered early from of calculus. This seemed to be true when the proof was analysed, seemingly showing the use of the first and second derivatives of sine and cosine to calculate the series. The way this is done is far different to how a Taylor series is constructed and does not show an understanding that the derivative could be thought of as a function, and as will now be shown in a brief explanation of the proof is thought of more in terms of being equivalent to the original function.</w:t>
      </w:r>
    </w:p>
    <w:p w14:paraId="445DC912" w14:textId="6F1764AF" w:rsidR="00F42A43" w:rsidRDefault="00F42A43" w:rsidP="00F42A43">
      <w:pPr>
        <w:pStyle w:val="NormalWeb"/>
        <w:rPr>
          <w:color w:val="000000"/>
          <w:sz w:val="27"/>
          <w:szCs w:val="27"/>
        </w:rPr>
      </w:pPr>
      <w:r>
        <w:rPr>
          <w:color w:val="000000"/>
          <w:sz w:val="27"/>
          <w:szCs w:val="27"/>
        </w:rPr>
        <w:t>A brief outline of the Proof (note that the Indian Sin and Cos is equal to R*sin and R*cos where R is the radius)</w:t>
      </w:r>
      <w:sdt>
        <w:sdtPr>
          <w:rPr>
            <w:color w:val="000000"/>
            <w:sz w:val="27"/>
            <w:szCs w:val="27"/>
          </w:rPr>
          <w:id w:val="-408310032"/>
          <w:citation/>
        </w:sdtPr>
        <w:sdtContent>
          <w:r>
            <w:rPr>
              <w:color w:val="000000"/>
              <w:sz w:val="27"/>
              <w:szCs w:val="27"/>
            </w:rPr>
            <w:fldChar w:fldCharType="begin"/>
          </w:r>
          <w:r>
            <w:rPr>
              <w:color w:val="000000"/>
              <w:sz w:val="27"/>
              <w:szCs w:val="27"/>
              <w:lang w:val="en-US"/>
            </w:rPr>
            <w:instrText xml:space="preserve"> CITATION Pho14 \l 1033 </w:instrText>
          </w:r>
          <w:r>
            <w:rPr>
              <w:color w:val="000000"/>
              <w:sz w:val="27"/>
              <w:szCs w:val="27"/>
            </w:rPr>
            <w:fldChar w:fldCharType="separate"/>
          </w:r>
          <w:r>
            <w:rPr>
              <w:noProof/>
              <w:color w:val="000000"/>
              <w:sz w:val="27"/>
              <w:szCs w:val="27"/>
              <w:lang w:val="en-US"/>
            </w:rPr>
            <w:t xml:space="preserve"> </w:t>
          </w:r>
          <w:r w:rsidRPr="00F42A43">
            <w:rPr>
              <w:noProof/>
              <w:color w:val="000000"/>
              <w:sz w:val="27"/>
              <w:szCs w:val="27"/>
              <w:lang w:val="en-US"/>
            </w:rPr>
            <w:t>(Webb, 2014)</w:t>
          </w:r>
          <w:r>
            <w:rPr>
              <w:color w:val="000000"/>
              <w:sz w:val="27"/>
              <w:szCs w:val="27"/>
            </w:rPr>
            <w:fldChar w:fldCharType="end"/>
          </w:r>
        </w:sdtContent>
      </w:sdt>
      <w:r>
        <w:rPr>
          <w:color w:val="000000"/>
          <w:sz w:val="27"/>
          <w:szCs w:val="27"/>
        </w:rPr>
        <w:t>:</w:t>
      </w:r>
    </w:p>
    <w:p w14:paraId="5CF79DAA" w14:textId="77777777" w:rsidR="00F42A43" w:rsidRDefault="00F42A43" w:rsidP="00F42A43">
      <w:pPr>
        <w:pStyle w:val="NormalWeb"/>
        <w:rPr>
          <w:color w:val="000000"/>
          <w:sz w:val="27"/>
          <w:szCs w:val="27"/>
        </w:rPr>
      </w:pPr>
      <w:r>
        <w:rPr>
          <w:color w:val="000000"/>
          <w:sz w:val="27"/>
          <w:szCs w:val="27"/>
        </w:rPr>
        <w:t xml:space="preserve">The proof is done by diving a sector of a circle of radius R into </w:t>
      </w:r>
      <w:proofErr w:type="spellStart"/>
      <w:r>
        <w:rPr>
          <w:color w:val="000000"/>
          <w:sz w:val="27"/>
          <w:szCs w:val="27"/>
        </w:rPr>
        <w:t>n</w:t>
      </w:r>
      <w:proofErr w:type="spellEnd"/>
      <w:r>
        <w:rPr>
          <w:color w:val="000000"/>
          <w:sz w:val="27"/>
          <w:szCs w:val="27"/>
        </w:rPr>
        <w:t xml:space="preserve"> equal parts. Two right angle triangles are made, one uses a radius of the </w:t>
      </w:r>
      <w:proofErr w:type="spellStart"/>
      <w:r>
        <w:rPr>
          <w:color w:val="000000"/>
          <w:sz w:val="27"/>
          <w:szCs w:val="27"/>
        </w:rPr>
        <w:t>ith</w:t>
      </w:r>
      <w:proofErr w:type="spellEnd"/>
      <w:r>
        <w:rPr>
          <w:color w:val="000000"/>
          <w:sz w:val="27"/>
          <w:szCs w:val="27"/>
        </w:rPr>
        <w:t xml:space="preserve"> sector so has a hypotenuse R and sides of Sin </w:t>
      </w:r>
      <w:proofErr w:type="spellStart"/>
      <w:r>
        <w:rPr>
          <w:color w:val="000000"/>
          <w:sz w:val="27"/>
          <w:szCs w:val="27"/>
        </w:rPr>
        <w:t>i</w:t>
      </w:r>
      <w:proofErr w:type="spellEnd"/>
      <w:r>
        <w:rPr>
          <w:color w:val="000000"/>
          <w:sz w:val="27"/>
          <w:szCs w:val="27"/>
        </w:rPr>
        <w:t xml:space="preserve"> and Cos </w:t>
      </w:r>
      <w:proofErr w:type="spellStart"/>
      <w:r>
        <w:rPr>
          <w:color w:val="000000"/>
          <w:sz w:val="27"/>
          <w:szCs w:val="27"/>
        </w:rPr>
        <w:t>i</w:t>
      </w:r>
      <w:proofErr w:type="spellEnd"/>
      <w:r>
        <w:rPr>
          <w:color w:val="000000"/>
          <w:sz w:val="27"/>
          <w:szCs w:val="27"/>
        </w:rPr>
        <w:t xml:space="preserve"> , the other uses the negative space between the </w:t>
      </w:r>
      <w:proofErr w:type="spellStart"/>
      <w:r>
        <w:rPr>
          <w:color w:val="000000"/>
          <w:sz w:val="27"/>
          <w:szCs w:val="27"/>
        </w:rPr>
        <w:t>ith</w:t>
      </w:r>
      <w:proofErr w:type="spellEnd"/>
      <w:r>
        <w:rPr>
          <w:color w:val="000000"/>
          <w:sz w:val="27"/>
          <w:szCs w:val="27"/>
        </w:rPr>
        <w:t xml:space="preserve"> sector and the i+1th sector so has a hypotenuse equal to the chord of θi+1-θi which will be written as Δθi+1 and side lengths of Cos i+1 - Cos </w:t>
      </w:r>
      <w:proofErr w:type="spellStart"/>
      <w:r>
        <w:rPr>
          <w:color w:val="000000"/>
          <w:sz w:val="27"/>
          <w:szCs w:val="27"/>
        </w:rPr>
        <w:t>i</w:t>
      </w:r>
      <w:proofErr w:type="spellEnd"/>
      <w:r>
        <w:rPr>
          <w:color w:val="000000"/>
          <w:sz w:val="27"/>
          <w:szCs w:val="27"/>
        </w:rPr>
        <w:t xml:space="preserve"> also written as </w:t>
      </w:r>
      <w:proofErr w:type="spellStart"/>
      <w:r>
        <w:rPr>
          <w:color w:val="000000"/>
          <w:sz w:val="27"/>
          <w:szCs w:val="27"/>
        </w:rPr>
        <w:t>ΔCos</w:t>
      </w:r>
      <w:proofErr w:type="spellEnd"/>
      <w:r>
        <w:rPr>
          <w:color w:val="000000"/>
          <w:sz w:val="27"/>
          <w:szCs w:val="27"/>
        </w:rPr>
        <w:t xml:space="preserve"> i+1 and of </w:t>
      </w:r>
      <w:proofErr w:type="spellStart"/>
      <w:r>
        <w:rPr>
          <w:color w:val="000000"/>
          <w:sz w:val="27"/>
          <w:szCs w:val="27"/>
        </w:rPr>
        <w:t>ΔSin</w:t>
      </w:r>
      <w:proofErr w:type="spellEnd"/>
      <w:r>
        <w:rPr>
          <w:color w:val="000000"/>
          <w:sz w:val="27"/>
          <w:szCs w:val="27"/>
        </w:rPr>
        <w:t xml:space="preserve"> i+1. By showing these triangles are similar Sine </w:t>
      </w:r>
      <w:r>
        <w:rPr>
          <w:color w:val="000000"/>
          <w:sz w:val="27"/>
          <w:szCs w:val="27"/>
        </w:rPr>
        <w:lastRenderedPageBreak/>
        <w:t xml:space="preserve">and Cosine can be written in terms of </w:t>
      </w:r>
      <w:proofErr w:type="spellStart"/>
      <w:r>
        <w:rPr>
          <w:color w:val="000000"/>
          <w:sz w:val="27"/>
          <w:szCs w:val="27"/>
        </w:rPr>
        <w:t>ΔCos</w:t>
      </w:r>
      <w:proofErr w:type="spellEnd"/>
      <w:r>
        <w:rPr>
          <w:color w:val="000000"/>
          <w:sz w:val="27"/>
          <w:szCs w:val="27"/>
        </w:rPr>
        <w:t xml:space="preserve"> i+1 and of </w:t>
      </w:r>
      <w:proofErr w:type="spellStart"/>
      <w:r>
        <w:rPr>
          <w:color w:val="000000"/>
          <w:sz w:val="27"/>
          <w:szCs w:val="27"/>
        </w:rPr>
        <w:t>ΔSin</w:t>
      </w:r>
      <w:proofErr w:type="spellEnd"/>
      <w:r>
        <w:rPr>
          <w:color w:val="000000"/>
          <w:sz w:val="27"/>
          <w:szCs w:val="27"/>
        </w:rPr>
        <w:t xml:space="preserve"> i+1 respectively. The second difference (which is defined as </w:t>
      </w:r>
      <w:proofErr w:type="spellStart"/>
      <w:r>
        <w:rPr>
          <w:color w:val="000000"/>
          <w:sz w:val="27"/>
          <w:szCs w:val="27"/>
        </w:rPr>
        <w:t>ΔCos</w:t>
      </w:r>
      <w:proofErr w:type="spellEnd"/>
      <w:r>
        <w:rPr>
          <w:color w:val="000000"/>
          <w:sz w:val="27"/>
          <w:szCs w:val="27"/>
        </w:rPr>
        <w:t xml:space="preserve"> </w:t>
      </w:r>
      <w:proofErr w:type="spellStart"/>
      <w:r>
        <w:rPr>
          <w:color w:val="000000"/>
          <w:sz w:val="27"/>
          <w:szCs w:val="27"/>
        </w:rPr>
        <w:t>i</w:t>
      </w:r>
      <w:proofErr w:type="spellEnd"/>
      <w:r>
        <w:rPr>
          <w:color w:val="000000"/>
          <w:sz w:val="27"/>
          <w:szCs w:val="27"/>
        </w:rPr>
        <w:t xml:space="preserve"> - </w:t>
      </w:r>
      <w:proofErr w:type="spellStart"/>
      <w:r>
        <w:rPr>
          <w:color w:val="000000"/>
          <w:sz w:val="27"/>
          <w:szCs w:val="27"/>
        </w:rPr>
        <w:t>ΔCos</w:t>
      </w:r>
      <w:proofErr w:type="spellEnd"/>
      <w:r>
        <w:rPr>
          <w:color w:val="000000"/>
          <w:sz w:val="27"/>
          <w:szCs w:val="27"/>
        </w:rPr>
        <w:t xml:space="preserve"> i-1= </w:t>
      </w:r>
      <w:proofErr w:type="spellStart"/>
      <w:r>
        <w:rPr>
          <w:color w:val="000000"/>
          <w:sz w:val="27"/>
          <w:szCs w:val="27"/>
        </w:rPr>
        <w:t>ΔΔCos</w:t>
      </w:r>
      <w:proofErr w:type="spellEnd"/>
      <w:r>
        <w:rPr>
          <w:color w:val="000000"/>
          <w:sz w:val="27"/>
          <w:szCs w:val="27"/>
        </w:rPr>
        <w:t xml:space="preserve"> </w:t>
      </w:r>
      <w:proofErr w:type="spellStart"/>
      <w:r>
        <w:rPr>
          <w:color w:val="000000"/>
          <w:sz w:val="27"/>
          <w:szCs w:val="27"/>
        </w:rPr>
        <w:t>i</w:t>
      </w:r>
      <w:proofErr w:type="spellEnd"/>
      <w:r>
        <w:rPr>
          <w:color w:val="000000"/>
          <w:sz w:val="27"/>
          <w:szCs w:val="27"/>
        </w:rPr>
        <w:t xml:space="preserve">) a recursive formula can be found that gives that </w:t>
      </w:r>
      <w:proofErr w:type="spellStart"/>
      <w:r>
        <w:rPr>
          <w:color w:val="000000"/>
          <w:sz w:val="27"/>
          <w:szCs w:val="27"/>
        </w:rPr>
        <w:t>ΔSin</w:t>
      </w:r>
      <w:proofErr w:type="spellEnd"/>
      <w:r>
        <w:rPr>
          <w:color w:val="000000"/>
          <w:sz w:val="27"/>
          <w:szCs w:val="27"/>
        </w:rPr>
        <w:t xml:space="preserve"> i+1= </w:t>
      </w:r>
      <w:proofErr w:type="spellStart"/>
      <w:r>
        <w:rPr>
          <w:color w:val="000000"/>
          <w:sz w:val="27"/>
          <w:szCs w:val="27"/>
        </w:rPr>
        <w:t>ΔSin</w:t>
      </w:r>
      <w:proofErr w:type="spellEnd"/>
      <w:r>
        <w:rPr>
          <w:color w:val="000000"/>
          <w:sz w:val="27"/>
          <w:szCs w:val="27"/>
        </w:rPr>
        <w:t xml:space="preserve"> 1-∑</w:t>
      </w:r>
      <w:proofErr w:type="spellStart"/>
      <w:r>
        <w:rPr>
          <w:color w:val="000000"/>
          <w:sz w:val="27"/>
          <w:szCs w:val="27"/>
        </w:rPr>
        <w:t>ΔCos</w:t>
      </w:r>
      <w:proofErr w:type="spellEnd"/>
      <w:r>
        <w:rPr>
          <w:color w:val="000000"/>
          <w:sz w:val="27"/>
          <w:szCs w:val="27"/>
        </w:rPr>
        <w:t xml:space="preserve"> k.5(</w:t>
      </w:r>
      <w:proofErr w:type="spellStart"/>
      <w:r>
        <w:rPr>
          <w:color w:val="000000"/>
          <w:sz w:val="27"/>
          <w:szCs w:val="27"/>
        </w:rPr>
        <w:t>crd</w:t>
      </w:r>
      <w:proofErr w:type="spellEnd"/>
      <w:r>
        <w:rPr>
          <w:rFonts w:ascii="Cambria Math" w:hAnsi="Cambria Math" w:cs="Cambria Math"/>
          <w:color w:val="000000"/>
          <w:sz w:val="27"/>
          <w:szCs w:val="27"/>
        </w:rPr>
        <w:t>𝑖𝑘</w:t>
      </w:r>
      <w:r>
        <w:rPr>
          <w:color w:val="000000"/>
          <w:sz w:val="27"/>
          <w:szCs w:val="27"/>
        </w:rPr>
        <w:t>=1(</w:t>
      </w:r>
      <w:proofErr w:type="spellStart"/>
      <w:r>
        <w:rPr>
          <w:color w:val="000000"/>
          <w:sz w:val="27"/>
          <w:szCs w:val="27"/>
        </w:rPr>
        <w:t>Δθ</w:t>
      </w:r>
      <w:proofErr w:type="spellEnd"/>
      <w:r>
        <w:rPr>
          <w:color w:val="000000"/>
          <w:sz w:val="27"/>
          <w:szCs w:val="27"/>
        </w:rPr>
        <w:t xml:space="preserve">)/R) where k.5 is halfway between the kth sector and the k+1th sector. A second sum that </w:t>
      </w:r>
      <w:proofErr w:type="spellStart"/>
      <w:r>
        <w:rPr>
          <w:color w:val="000000"/>
          <w:sz w:val="27"/>
          <w:szCs w:val="27"/>
        </w:rPr>
        <w:t>sini</w:t>
      </w:r>
      <w:proofErr w:type="spellEnd"/>
      <w:r>
        <w:rPr>
          <w:color w:val="000000"/>
          <w:sz w:val="27"/>
          <w:szCs w:val="27"/>
        </w:rPr>
        <w:t xml:space="preserve"> =∑</w:t>
      </w:r>
      <w:proofErr w:type="spellStart"/>
      <w:r>
        <w:rPr>
          <w:color w:val="000000"/>
          <w:sz w:val="27"/>
          <w:szCs w:val="27"/>
        </w:rPr>
        <w:t>ΔSink</w:t>
      </w:r>
      <w:proofErr w:type="spellEnd"/>
      <w:r>
        <w:rPr>
          <w:color w:val="000000"/>
          <w:sz w:val="27"/>
          <w:szCs w:val="27"/>
        </w:rPr>
        <w:t xml:space="preserve"> </w:t>
      </w:r>
      <w:r>
        <w:rPr>
          <w:rFonts w:ascii="Cambria Math" w:hAnsi="Cambria Math" w:cs="Cambria Math"/>
          <w:color w:val="000000"/>
          <w:sz w:val="27"/>
          <w:szCs w:val="27"/>
        </w:rPr>
        <w:t>𝑖𝑘</w:t>
      </w:r>
      <w:r>
        <w:rPr>
          <w:color w:val="000000"/>
          <w:sz w:val="27"/>
          <w:szCs w:val="27"/>
        </w:rPr>
        <w:t>=1is also used and by putting together these two series we get a nested series that expands to give Sini = i-i3/(3!R2)+i5/(5!R2)… which when R=1 is equal to the modern day Taylor series.</w:t>
      </w:r>
    </w:p>
    <w:p w14:paraId="226872B4" w14:textId="3D97B020" w:rsidR="00F42A43" w:rsidRDefault="00F42A43" w:rsidP="00F42A43">
      <w:pPr>
        <w:pStyle w:val="NormalWeb"/>
        <w:rPr>
          <w:color w:val="000000"/>
          <w:sz w:val="27"/>
          <w:szCs w:val="27"/>
        </w:rPr>
      </w:pPr>
      <w:r>
        <w:rPr>
          <w:color w:val="000000"/>
          <w:sz w:val="27"/>
          <w:szCs w:val="27"/>
        </w:rPr>
        <w:t>From the proof it is clear to see that trigonometry and triangles are heavily used. This perhaps showed how the Kerala School did not see these series as the beginning of calculus as the European mathematicians did but as an extension of trigonometry to calculate precise Sine and Cosine values. This is given away by a similar infinite series also translated by Whish; that “the given diameter multiplied by 4 severally and continually by the odd numbers 3, 5, 7, 9, 11, &amp;c., and the quotients thus obtained, alternatively subtract from and add to, the diameter multiplied by 4. The result is the precise circumference”</w:t>
      </w:r>
      <w:sdt>
        <w:sdtPr>
          <w:rPr>
            <w:color w:val="000000"/>
            <w:sz w:val="27"/>
            <w:szCs w:val="27"/>
          </w:rPr>
          <w:id w:val="1445661302"/>
          <w:citation/>
        </w:sdtPr>
        <w:sdtContent>
          <w:r>
            <w:rPr>
              <w:color w:val="000000"/>
              <w:sz w:val="27"/>
              <w:szCs w:val="27"/>
            </w:rPr>
            <w:fldChar w:fldCharType="begin"/>
          </w:r>
          <w:r>
            <w:rPr>
              <w:color w:val="000000"/>
              <w:sz w:val="27"/>
              <w:szCs w:val="27"/>
              <w:lang w:val="en-US"/>
            </w:rPr>
            <w:instrText xml:space="preserve"> CITATION Cha34 \l 1033 </w:instrText>
          </w:r>
          <w:r>
            <w:rPr>
              <w:color w:val="000000"/>
              <w:sz w:val="27"/>
              <w:szCs w:val="27"/>
            </w:rPr>
            <w:fldChar w:fldCharType="separate"/>
          </w:r>
          <w:r>
            <w:rPr>
              <w:noProof/>
              <w:color w:val="000000"/>
              <w:sz w:val="27"/>
              <w:szCs w:val="27"/>
              <w:lang w:val="en-US"/>
            </w:rPr>
            <w:t xml:space="preserve"> </w:t>
          </w:r>
          <w:r w:rsidRPr="00F42A43">
            <w:rPr>
              <w:noProof/>
              <w:color w:val="000000"/>
              <w:sz w:val="27"/>
              <w:szCs w:val="27"/>
              <w:lang w:val="en-US"/>
            </w:rPr>
            <w:t>(Whish, 1834)</w:t>
          </w:r>
          <w:r>
            <w:rPr>
              <w:color w:val="000000"/>
              <w:sz w:val="27"/>
              <w:szCs w:val="27"/>
            </w:rPr>
            <w:fldChar w:fldCharType="end"/>
          </w:r>
        </w:sdtContent>
      </w:sdt>
      <w:r>
        <w:rPr>
          <w:color w:val="000000"/>
          <w:sz w:val="27"/>
          <w:szCs w:val="27"/>
        </w:rPr>
        <w:t>, this is the first evidence of an infinite sum for pi in all of history and was used by Madhava to estimate pi to 11 digits, an amazing level of accuracy for the time.</w:t>
      </w:r>
    </w:p>
    <w:p w14:paraId="1C05251B" w14:textId="77777777" w:rsidR="00F42A43" w:rsidRDefault="00F42A43" w:rsidP="00F42A43">
      <w:pPr>
        <w:pStyle w:val="NormalWeb"/>
        <w:rPr>
          <w:color w:val="000000"/>
          <w:sz w:val="27"/>
          <w:szCs w:val="27"/>
        </w:rPr>
      </w:pPr>
      <w:r>
        <w:rPr>
          <w:color w:val="000000"/>
          <w:sz w:val="27"/>
          <w:szCs w:val="27"/>
        </w:rPr>
        <w:t>The importance of pi and trigonometry to the Kerala School was more than just a mathematical one, it was also an astronomical one and a cultural one. The Hindu festivals are held according to the lunar months and the positions of the stars, so exact measurements of angles and circles were needed to organise the celebrations and harvests. This shows the different contexts that led to the developments of advanced trigonometry and calculus in Europe and India; whilst the Indians needed trigonometry for religious and calendar reasons, the European calculus was developed to help sailors navigate rough seas on transatlantic voyagers. This could perhaps explain why the Indians developed trigonometry earlier, as there was always a need for more accurate Sine tables to compute the dates and times of festivals, whereas the age of sail only began in the late 16th Century and thus only then was there a need for calculus in Europe. An alternative explanation is the base 10 system, India had been using the Arabic number system from at least the 4th century, whereas the much harder to calculate Roman numerals were the number system of choice in Europe until the 1500s.</w:t>
      </w:r>
    </w:p>
    <w:p w14:paraId="0C6D3BC0" w14:textId="408079C2" w:rsidR="00F42A43" w:rsidRDefault="00F42A43" w:rsidP="00F42A43">
      <w:pPr>
        <w:pStyle w:val="NormalWeb"/>
        <w:rPr>
          <w:color w:val="000000"/>
          <w:sz w:val="27"/>
          <w:szCs w:val="27"/>
        </w:rPr>
      </w:pPr>
      <w:r>
        <w:rPr>
          <w:color w:val="000000"/>
          <w:sz w:val="27"/>
          <w:szCs w:val="27"/>
        </w:rPr>
        <w:t xml:space="preserve">To evaluate the importance of the Kerala School we must not only consider </w:t>
      </w:r>
      <w:r>
        <w:rPr>
          <w:color w:val="000000"/>
          <w:sz w:val="27"/>
          <w:szCs w:val="27"/>
        </w:rPr>
        <w:t xml:space="preserve">how </w:t>
      </w:r>
      <w:r>
        <w:rPr>
          <w:color w:val="000000"/>
          <w:sz w:val="27"/>
          <w:szCs w:val="27"/>
        </w:rPr>
        <w:t>complex their discoveries</w:t>
      </w:r>
      <w:r>
        <w:rPr>
          <w:color w:val="000000"/>
          <w:sz w:val="27"/>
          <w:szCs w:val="27"/>
        </w:rPr>
        <w:t xml:space="preserve"> were</w:t>
      </w:r>
      <w:r>
        <w:rPr>
          <w:color w:val="000000"/>
          <w:sz w:val="27"/>
          <w:szCs w:val="27"/>
        </w:rPr>
        <w:t xml:space="preserve"> but also what they led to. In Europe Newton’s and Leibniz’s calculus became the most powerful tool of the mathematicians, used by people such as Euler to extend mathematics further than ever before and into the realms of complex numbers, graph theory and countless other important areas. The same cannot be said for the Kerala School unfortunately; while there is no doubt that the individual discoveries were far more ground-breaking than any European discoveries at the time (the only European mathematician of any note at this time was Fibonacci who had been dead for 250 years when the </w:t>
      </w:r>
      <w:proofErr w:type="spellStart"/>
      <w:r>
        <w:rPr>
          <w:color w:val="000000"/>
          <w:sz w:val="27"/>
          <w:szCs w:val="27"/>
        </w:rPr>
        <w:t>Tantrasamgraha</w:t>
      </w:r>
      <w:proofErr w:type="spellEnd"/>
      <w:r>
        <w:rPr>
          <w:color w:val="000000"/>
          <w:sz w:val="27"/>
          <w:szCs w:val="27"/>
        </w:rPr>
        <w:t xml:space="preserve"> was </w:t>
      </w:r>
      <w:r>
        <w:rPr>
          <w:color w:val="000000"/>
          <w:sz w:val="27"/>
          <w:szCs w:val="27"/>
        </w:rPr>
        <w:lastRenderedPageBreak/>
        <w:t xml:space="preserve">written), the sudden lack of any discoveries beyond Narayana </w:t>
      </w:r>
      <w:proofErr w:type="spellStart"/>
      <w:r>
        <w:rPr>
          <w:color w:val="000000"/>
          <w:sz w:val="27"/>
          <w:szCs w:val="27"/>
        </w:rPr>
        <w:t>Bhattathiri</w:t>
      </w:r>
      <w:proofErr w:type="spellEnd"/>
      <w:r>
        <w:rPr>
          <w:color w:val="000000"/>
          <w:sz w:val="27"/>
          <w:szCs w:val="27"/>
        </w:rPr>
        <w:t xml:space="preserve"> in 1632 is the most unusual part of the Kerala School.</w:t>
      </w:r>
    </w:p>
    <w:p w14:paraId="5599FE67" w14:textId="77777777" w:rsidR="00F42A43" w:rsidRDefault="00F42A43" w:rsidP="00F42A43">
      <w:pPr>
        <w:pStyle w:val="NormalWeb"/>
        <w:rPr>
          <w:color w:val="000000"/>
          <w:sz w:val="27"/>
          <w:szCs w:val="27"/>
        </w:rPr>
      </w:pPr>
      <w:r>
        <w:rPr>
          <w:color w:val="000000"/>
          <w:sz w:val="27"/>
          <w:szCs w:val="27"/>
        </w:rPr>
        <w:t xml:space="preserve">The failure of the Kerala School to develop their ideas into a unifying theory such as calculus is perhaps because of how they viewed mathematics. It was a tool no different to the telescope to study the stars and do calculations, never as a </w:t>
      </w:r>
      <w:proofErr w:type="gramStart"/>
      <w:r>
        <w:rPr>
          <w:color w:val="000000"/>
          <w:sz w:val="27"/>
          <w:szCs w:val="27"/>
        </w:rPr>
        <w:t>subject in itself, nor</w:t>
      </w:r>
      <w:proofErr w:type="gramEnd"/>
      <w:r>
        <w:rPr>
          <w:color w:val="000000"/>
          <w:sz w:val="27"/>
          <w:szCs w:val="27"/>
        </w:rPr>
        <w:t xml:space="preserve"> was mathematics calculated for its own sake, only for more precise Sine tables or more accurate circumferences. This is probably why they never formalised their ideas outside of trigonometry. By viewing mathematics as a tool, it limited their understanding as well as their abilities to generalise and see the larger picture of calculus. This might be the true importance of the Kerala School; mathematics can be a very useful and precise tool, but by limiting mathematics to be nothing more than applied mathematics you lose the depths and insight of pure mathematics potentially hindering development of not only applied mathematics but of all the sciences.</w:t>
      </w:r>
    </w:p>
    <w:p w14:paraId="4A5E150A" w14:textId="77777777" w:rsidR="00F42A43" w:rsidRDefault="00F42A43">
      <w:pPr>
        <w:rPr>
          <w:rFonts w:ascii="Times New Roman" w:hAnsi="Times New Roman" w:cs="Times New Roman"/>
        </w:rPr>
      </w:pPr>
    </w:p>
    <w:p w14:paraId="656197DC" w14:textId="6C0BB467" w:rsidR="004C50CE" w:rsidRDefault="004C50CE">
      <w:pPr>
        <w:rPr>
          <w:rFonts w:ascii="Times New Roman" w:hAnsi="Times New Roman" w:cs="Times New Roman"/>
        </w:rPr>
      </w:pPr>
    </w:p>
    <w:sdt>
      <w:sdtPr>
        <w:rPr>
          <w:rFonts w:asciiTheme="minorHAnsi" w:eastAsiaTheme="minorHAnsi" w:hAnsiTheme="minorHAnsi" w:cstheme="minorBidi"/>
          <w:color w:val="auto"/>
          <w:sz w:val="22"/>
          <w:szCs w:val="22"/>
          <w:lang w:val="en-GB"/>
        </w:rPr>
        <w:id w:val="356399810"/>
        <w:docPartObj>
          <w:docPartGallery w:val="Bibliographies"/>
          <w:docPartUnique/>
        </w:docPartObj>
      </w:sdtPr>
      <w:sdtEndPr/>
      <w:sdtContent>
        <w:p w14:paraId="6E1659D3" w14:textId="38FADA8E" w:rsidR="004C50CE" w:rsidRDefault="004C50CE">
          <w:pPr>
            <w:pStyle w:val="Heading1"/>
          </w:pPr>
          <w:r>
            <w:t>Bibliography</w:t>
          </w:r>
        </w:p>
        <w:sdt>
          <w:sdtPr>
            <w:id w:val="111145805"/>
            <w:bibliography/>
          </w:sdtPr>
          <w:sdtEndPr/>
          <w:sdtContent>
            <w:p w14:paraId="0092B766" w14:textId="3C5C60E3" w:rsidR="004C50CE" w:rsidRDefault="004C50CE" w:rsidP="004C50CE">
              <w:pPr>
                <w:pStyle w:val="Bibliography"/>
                <w:rPr>
                  <w:noProof/>
                  <w:sz w:val="24"/>
                  <w:szCs w:val="24"/>
                  <w:lang w:val="en-US"/>
                </w:rPr>
              </w:pPr>
              <w:r>
                <w:fldChar w:fldCharType="begin"/>
              </w:r>
              <w:r>
                <w:instrText xml:space="preserve"> BIBLIOGRAPHY </w:instrText>
              </w:r>
              <w:r>
                <w:fldChar w:fldCharType="separate"/>
              </w:r>
            </w:p>
            <w:p w14:paraId="17927BA7" w14:textId="77777777" w:rsidR="004C50CE" w:rsidRDefault="004C50CE" w:rsidP="004C50CE">
              <w:pPr>
                <w:pStyle w:val="Bibliography"/>
                <w:rPr>
                  <w:noProof/>
                  <w:lang w:val="en-US"/>
                </w:rPr>
              </w:pPr>
              <w:r>
                <w:rPr>
                  <w:noProof/>
                  <w:lang w:val="en-US"/>
                </w:rPr>
                <w:t xml:space="preserve">Webb, P., 2014. The developement of Calculus in the Kerala School. </w:t>
              </w:r>
              <w:r>
                <w:rPr>
                  <w:i/>
                  <w:iCs/>
                  <w:noProof/>
                  <w:lang w:val="en-US"/>
                </w:rPr>
                <w:t xml:space="preserve">The Mathematics Ethusiast, </w:t>
              </w:r>
              <w:r>
                <w:rPr>
                  <w:noProof/>
                  <w:lang w:val="en-US"/>
                </w:rPr>
                <w:t>11(3), pp. 495-511.</w:t>
              </w:r>
            </w:p>
            <w:p w14:paraId="699E86F7" w14:textId="451EBB5D" w:rsidR="004C50CE" w:rsidRDefault="004C50CE" w:rsidP="004C50CE">
              <w:pPr>
                <w:pStyle w:val="Bibliography"/>
                <w:rPr>
                  <w:noProof/>
                  <w:lang w:val="en-US"/>
                </w:rPr>
              </w:pPr>
              <w:r>
                <w:rPr>
                  <w:noProof/>
                  <w:lang w:val="en-US"/>
                </w:rPr>
                <w:t xml:space="preserve">Whish, C. M., 1834. On the Hindu Quadrature of the Circle, and the Infinite Series of the Proportion of the Circumfrence to the Diameter Exhibited in the Four S'astras, the Tantra Sangraham, Yucti Bhasa, Carana Padhati, and Sadratnamala.. </w:t>
              </w:r>
              <w:r>
                <w:rPr>
                  <w:i/>
                  <w:iCs/>
                  <w:noProof/>
                  <w:lang w:val="en-US"/>
                </w:rPr>
                <w:t xml:space="preserve">Transactions of the Royal Asiatic Society of Great Britisn and Ireland, </w:t>
              </w:r>
              <w:r>
                <w:rPr>
                  <w:noProof/>
                  <w:lang w:val="en-US"/>
                </w:rPr>
                <w:t>3(3), pp. 509-523.</w:t>
              </w:r>
            </w:p>
            <w:p w14:paraId="6A80E817" w14:textId="5D12E57D" w:rsidR="004C50CE" w:rsidRDefault="004C50CE" w:rsidP="004C50CE">
              <w:r>
                <w:rPr>
                  <w:b/>
                  <w:bCs/>
                  <w:noProof/>
                </w:rPr>
                <w:fldChar w:fldCharType="end"/>
              </w:r>
            </w:p>
          </w:sdtContent>
        </w:sdt>
      </w:sdtContent>
    </w:sdt>
    <w:p w14:paraId="1814B953" w14:textId="77777777" w:rsidR="004C50CE" w:rsidRPr="00BB36A4" w:rsidRDefault="004C50CE">
      <w:pPr>
        <w:rPr>
          <w:rFonts w:ascii="Times New Roman" w:hAnsi="Times New Roman" w:cs="Times New Roman"/>
        </w:rPr>
      </w:pPr>
    </w:p>
    <w:p w14:paraId="1B2D2EA4" w14:textId="79F70C97" w:rsidR="00BF0724" w:rsidRPr="00BB36A4" w:rsidRDefault="00BF0724">
      <w:pPr>
        <w:rPr>
          <w:rFonts w:ascii="Times New Roman" w:eastAsiaTheme="minorEastAsia" w:hAnsi="Times New Roman" w:cs="Times New Roman"/>
        </w:rPr>
      </w:pPr>
    </w:p>
    <w:p w14:paraId="4B3DA6B9" w14:textId="77777777" w:rsidR="00CB24FD" w:rsidRPr="00BB36A4" w:rsidRDefault="00CB24FD">
      <w:pPr>
        <w:rPr>
          <w:rFonts w:ascii="Times New Roman" w:hAnsi="Times New Roman" w:cs="Times New Roman"/>
        </w:rPr>
      </w:pPr>
    </w:p>
    <w:p w14:paraId="00A14F8B" w14:textId="77777777" w:rsidR="008E6DCA" w:rsidRPr="00BB36A4" w:rsidRDefault="008E6DCA"/>
    <w:sectPr w:rsidR="008E6DCA" w:rsidRPr="00BB36A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51FE"/>
    <w:rsid w:val="0000162F"/>
    <w:rsid w:val="0001663B"/>
    <w:rsid w:val="00031D63"/>
    <w:rsid w:val="00034591"/>
    <w:rsid w:val="000510C2"/>
    <w:rsid w:val="0006138B"/>
    <w:rsid w:val="00071269"/>
    <w:rsid w:val="00071BD3"/>
    <w:rsid w:val="000774FB"/>
    <w:rsid w:val="00090E17"/>
    <w:rsid w:val="000C128F"/>
    <w:rsid w:val="000C2596"/>
    <w:rsid w:val="000E276E"/>
    <w:rsid w:val="000F5ABA"/>
    <w:rsid w:val="00102FD3"/>
    <w:rsid w:val="00117141"/>
    <w:rsid w:val="00125706"/>
    <w:rsid w:val="001309FF"/>
    <w:rsid w:val="001316E1"/>
    <w:rsid w:val="001516BD"/>
    <w:rsid w:val="00161BD3"/>
    <w:rsid w:val="001668F9"/>
    <w:rsid w:val="00171D25"/>
    <w:rsid w:val="001771AE"/>
    <w:rsid w:val="0017725F"/>
    <w:rsid w:val="00183095"/>
    <w:rsid w:val="001A4E03"/>
    <w:rsid w:val="001B7808"/>
    <w:rsid w:val="001D13B8"/>
    <w:rsid w:val="002072D1"/>
    <w:rsid w:val="00211C45"/>
    <w:rsid w:val="002143FD"/>
    <w:rsid w:val="00222541"/>
    <w:rsid w:val="002255BB"/>
    <w:rsid w:val="00227690"/>
    <w:rsid w:val="0023569C"/>
    <w:rsid w:val="0024299D"/>
    <w:rsid w:val="00243CFD"/>
    <w:rsid w:val="00250AF5"/>
    <w:rsid w:val="0025757F"/>
    <w:rsid w:val="00257C04"/>
    <w:rsid w:val="00260C7B"/>
    <w:rsid w:val="00262204"/>
    <w:rsid w:val="002675DD"/>
    <w:rsid w:val="002717B3"/>
    <w:rsid w:val="0027187C"/>
    <w:rsid w:val="002A18EC"/>
    <w:rsid w:val="002C09D9"/>
    <w:rsid w:val="002C13C6"/>
    <w:rsid w:val="002C1647"/>
    <w:rsid w:val="002C228C"/>
    <w:rsid w:val="002C567F"/>
    <w:rsid w:val="002D758B"/>
    <w:rsid w:val="002F7859"/>
    <w:rsid w:val="003006D5"/>
    <w:rsid w:val="00306CB2"/>
    <w:rsid w:val="00314855"/>
    <w:rsid w:val="0032055B"/>
    <w:rsid w:val="00321D26"/>
    <w:rsid w:val="00334B0B"/>
    <w:rsid w:val="00391E1C"/>
    <w:rsid w:val="0039557E"/>
    <w:rsid w:val="00397FDC"/>
    <w:rsid w:val="003A6DFF"/>
    <w:rsid w:val="003B7F68"/>
    <w:rsid w:val="003E39AE"/>
    <w:rsid w:val="003E5602"/>
    <w:rsid w:val="003F54B9"/>
    <w:rsid w:val="00427741"/>
    <w:rsid w:val="0044172A"/>
    <w:rsid w:val="00450F45"/>
    <w:rsid w:val="00451F96"/>
    <w:rsid w:val="004653DB"/>
    <w:rsid w:val="00475D83"/>
    <w:rsid w:val="00490EFF"/>
    <w:rsid w:val="00492C11"/>
    <w:rsid w:val="00495F59"/>
    <w:rsid w:val="004B0E20"/>
    <w:rsid w:val="004B4010"/>
    <w:rsid w:val="004C50CE"/>
    <w:rsid w:val="004D5503"/>
    <w:rsid w:val="004E770B"/>
    <w:rsid w:val="004F3813"/>
    <w:rsid w:val="005222D7"/>
    <w:rsid w:val="005366FC"/>
    <w:rsid w:val="0055283C"/>
    <w:rsid w:val="00562C34"/>
    <w:rsid w:val="00563367"/>
    <w:rsid w:val="00593F32"/>
    <w:rsid w:val="005B1633"/>
    <w:rsid w:val="005C672B"/>
    <w:rsid w:val="005D148C"/>
    <w:rsid w:val="005E022A"/>
    <w:rsid w:val="006007A3"/>
    <w:rsid w:val="0060654C"/>
    <w:rsid w:val="00606F63"/>
    <w:rsid w:val="00610123"/>
    <w:rsid w:val="00640DC6"/>
    <w:rsid w:val="0064618A"/>
    <w:rsid w:val="0064645F"/>
    <w:rsid w:val="00646991"/>
    <w:rsid w:val="00651E8E"/>
    <w:rsid w:val="00655EBC"/>
    <w:rsid w:val="00682156"/>
    <w:rsid w:val="00686CFF"/>
    <w:rsid w:val="006A05FB"/>
    <w:rsid w:val="006A2414"/>
    <w:rsid w:val="006B53A6"/>
    <w:rsid w:val="006C412E"/>
    <w:rsid w:val="006D0E99"/>
    <w:rsid w:val="0070795C"/>
    <w:rsid w:val="00714E4A"/>
    <w:rsid w:val="007161E3"/>
    <w:rsid w:val="00730B04"/>
    <w:rsid w:val="00753854"/>
    <w:rsid w:val="007848BC"/>
    <w:rsid w:val="00796F64"/>
    <w:rsid w:val="007B1FAF"/>
    <w:rsid w:val="007C19DB"/>
    <w:rsid w:val="007D5C48"/>
    <w:rsid w:val="007E5DAD"/>
    <w:rsid w:val="007F5A2F"/>
    <w:rsid w:val="00803F8E"/>
    <w:rsid w:val="008304E9"/>
    <w:rsid w:val="00837ACE"/>
    <w:rsid w:val="00842D89"/>
    <w:rsid w:val="00866478"/>
    <w:rsid w:val="00867B60"/>
    <w:rsid w:val="00870C64"/>
    <w:rsid w:val="00872495"/>
    <w:rsid w:val="00891987"/>
    <w:rsid w:val="008953B2"/>
    <w:rsid w:val="00895EA8"/>
    <w:rsid w:val="008D2E99"/>
    <w:rsid w:val="008E6DCA"/>
    <w:rsid w:val="008F22A2"/>
    <w:rsid w:val="00902FDF"/>
    <w:rsid w:val="0091380C"/>
    <w:rsid w:val="00921696"/>
    <w:rsid w:val="00932970"/>
    <w:rsid w:val="0094017F"/>
    <w:rsid w:val="0094177B"/>
    <w:rsid w:val="00943E1D"/>
    <w:rsid w:val="00957F4D"/>
    <w:rsid w:val="00970A1C"/>
    <w:rsid w:val="0098706F"/>
    <w:rsid w:val="009B5F8B"/>
    <w:rsid w:val="009B79B8"/>
    <w:rsid w:val="009F3A7D"/>
    <w:rsid w:val="009F5260"/>
    <w:rsid w:val="00A17997"/>
    <w:rsid w:val="00A3532A"/>
    <w:rsid w:val="00A4230E"/>
    <w:rsid w:val="00A46B3A"/>
    <w:rsid w:val="00A80E6C"/>
    <w:rsid w:val="00A84145"/>
    <w:rsid w:val="00A87C46"/>
    <w:rsid w:val="00AA70C6"/>
    <w:rsid w:val="00AE162F"/>
    <w:rsid w:val="00AE33F6"/>
    <w:rsid w:val="00AE430D"/>
    <w:rsid w:val="00AE4AEB"/>
    <w:rsid w:val="00AE71B3"/>
    <w:rsid w:val="00AF7ED9"/>
    <w:rsid w:val="00B02967"/>
    <w:rsid w:val="00B0326B"/>
    <w:rsid w:val="00B265ED"/>
    <w:rsid w:val="00B31FB7"/>
    <w:rsid w:val="00B3606F"/>
    <w:rsid w:val="00B362F2"/>
    <w:rsid w:val="00B42BCB"/>
    <w:rsid w:val="00B42F42"/>
    <w:rsid w:val="00B613A0"/>
    <w:rsid w:val="00B81384"/>
    <w:rsid w:val="00B839C3"/>
    <w:rsid w:val="00B96FE5"/>
    <w:rsid w:val="00BA2D58"/>
    <w:rsid w:val="00BA3EA3"/>
    <w:rsid w:val="00BB36A4"/>
    <w:rsid w:val="00BC26AD"/>
    <w:rsid w:val="00BE5F03"/>
    <w:rsid w:val="00BF0724"/>
    <w:rsid w:val="00C003DD"/>
    <w:rsid w:val="00C1635F"/>
    <w:rsid w:val="00C47DFA"/>
    <w:rsid w:val="00C50CC6"/>
    <w:rsid w:val="00C661A4"/>
    <w:rsid w:val="00C735AC"/>
    <w:rsid w:val="00C73744"/>
    <w:rsid w:val="00C84E14"/>
    <w:rsid w:val="00C84EFC"/>
    <w:rsid w:val="00C85F1E"/>
    <w:rsid w:val="00C878BA"/>
    <w:rsid w:val="00CB24FD"/>
    <w:rsid w:val="00CB45AC"/>
    <w:rsid w:val="00CC6FCB"/>
    <w:rsid w:val="00CD205B"/>
    <w:rsid w:val="00CF5B44"/>
    <w:rsid w:val="00D00344"/>
    <w:rsid w:val="00D17DFF"/>
    <w:rsid w:val="00D212B5"/>
    <w:rsid w:val="00D26E22"/>
    <w:rsid w:val="00D31E00"/>
    <w:rsid w:val="00D451FE"/>
    <w:rsid w:val="00D55FAA"/>
    <w:rsid w:val="00D900AB"/>
    <w:rsid w:val="00D9677F"/>
    <w:rsid w:val="00D97B58"/>
    <w:rsid w:val="00DA3DF8"/>
    <w:rsid w:val="00DC059F"/>
    <w:rsid w:val="00DF00B7"/>
    <w:rsid w:val="00E06A86"/>
    <w:rsid w:val="00E129BA"/>
    <w:rsid w:val="00E21B49"/>
    <w:rsid w:val="00E24CCA"/>
    <w:rsid w:val="00E3756B"/>
    <w:rsid w:val="00E37704"/>
    <w:rsid w:val="00E5589E"/>
    <w:rsid w:val="00E80D6E"/>
    <w:rsid w:val="00E92D9B"/>
    <w:rsid w:val="00E938F9"/>
    <w:rsid w:val="00E96565"/>
    <w:rsid w:val="00EA1583"/>
    <w:rsid w:val="00EB5237"/>
    <w:rsid w:val="00EC6A6E"/>
    <w:rsid w:val="00ED0A24"/>
    <w:rsid w:val="00ED21F9"/>
    <w:rsid w:val="00ED2C9B"/>
    <w:rsid w:val="00ED5094"/>
    <w:rsid w:val="00ED7B98"/>
    <w:rsid w:val="00EE7D20"/>
    <w:rsid w:val="00EF4B82"/>
    <w:rsid w:val="00F10809"/>
    <w:rsid w:val="00F12851"/>
    <w:rsid w:val="00F25CEE"/>
    <w:rsid w:val="00F32209"/>
    <w:rsid w:val="00F37145"/>
    <w:rsid w:val="00F42A43"/>
    <w:rsid w:val="00F60533"/>
    <w:rsid w:val="00F86B70"/>
    <w:rsid w:val="00F87FA2"/>
    <w:rsid w:val="00F932C4"/>
    <w:rsid w:val="00F94876"/>
    <w:rsid w:val="00FB4218"/>
    <w:rsid w:val="00FC3E24"/>
    <w:rsid w:val="00FC766A"/>
    <w:rsid w:val="00FD265E"/>
    <w:rsid w:val="00FD59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4045C2"/>
  <w15:chartTrackingRefBased/>
  <w15:docId w15:val="{ECD442AB-9E18-41E8-A216-8D54D65A0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C50CE"/>
    <w:pPr>
      <w:keepNext/>
      <w:keepLines/>
      <w:spacing w:before="240" w:after="0"/>
      <w:outlineLvl w:val="0"/>
    </w:pPr>
    <w:rPr>
      <w:rFonts w:asciiTheme="majorHAnsi" w:eastAsiaTheme="majorEastAsia" w:hAnsiTheme="majorHAnsi" w:cstheme="majorBidi"/>
      <w:color w:val="2F5496" w:themeColor="accent1" w:themeShade="BF"/>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94876"/>
    <w:rPr>
      <w:color w:val="0000FF"/>
      <w:u w:val="single"/>
    </w:rPr>
  </w:style>
  <w:style w:type="character" w:styleId="PlaceholderText">
    <w:name w:val="Placeholder Text"/>
    <w:basedOn w:val="DefaultParagraphFont"/>
    <w:uiPriority w:val="99"/>
    <w:semiHidden/>
    <w:rsid w:val="002F7859"/>
    <w:rPr>
      <w:color w:val="808080"/>
    </w:rPr>
  </w:style>
  <w:style w:type="character" w:customStyle="1" w:styleId="Heading1Char">
    <w:name w:val="Heading 1 Char"/>
    <w:basedOn w:val="DefaultParagraphFont"/>
    <w:link w:val="Heading1"/>
    <w:uiPriority w:val="9"/>
    <w:rsid w:val="004C50CE"/>
    <w:rPr>
      <w:rFonts w:asciiTheme="majorHAnsi" w:eastAsiaTheme="majorEastAsia" w:hAnsiTheme="majorHAnsi" w:cstheme="majorBidi"/>
      <w:color w:val="2F5496" w:themeColor="accent1" w:themeShade="BF"/>
      <w:sz w:val="32"/>
      <w:szCs w:val="32"/>
      <w:lang w:val="en-US"/>
    </w:rPr>
  </w:style>
  <w:style w:type="paragraph" w:styleId="Bibliography">
    <w:name w:val="Bibliography"/>
    <w:basedOn w:val="Normal"/>
    <w:next w:val="Normal"/>
    <w:uiPriority w:val="37"/>
    <w:unhideWhenUsed/>
    <w:rsid w:val="004C50CE"/>
  </w:style>
  <w:style w:type="paragraph" w:styleId="NormalWeb">
    <w:name w:val="Normal (Web)"/>
    <w:basedOn w:val="Normal"/>
    <w:uiPriority w:val="99"/>
    <w:semiHidden/>
    <w:unhideWhenUsed/>
    <w:rsid w:val="00F42A43"/>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964594">
      <w:bodyDiv w:val="1"/>
      <w:marLeft w:val="0"/>
      <w:marRight w:val="0"/>
      <w:marTop w:val="0"/>
      <w:marBottom w:val="0"/>
      <w:divBdr>
        <w:top w:val="none" w:sz="0" w:space="0" w:color="auto"/>
        <w:left w:val="none" w:sz="0" w:space="0" w:color="auto"/>
        <w:bottom w:val="none" w:sz="0" w:space="0" w:color="auto"/>
        <w:right w:val="none" w:sz="0" w:space="0" w:color="auto"/>
      </w:divBdr>
    </w:div>
    <w:div w:id="167016664">
      <w:bodyDiv w:val="1"/>
      <w:marLeft w:val="0"/>
      <w:marRight w:val="0"/>
      <w:marTop w:val="0"/>
      <w:marBottom w:val="0"/>
      <w:divBdr>
        <w:top w:val="none" w:sz="0" w:space="0" w:color="auto"/>
        <w:left w:val="none" w:sz="0" w:space="0" w:color="auto"/>
        <w:bottom w:val="none" w:sz="0" w:space="0" w:color="auto"/>
        <w:right w:val="none" w:sz="0" w:space="0" w:color="auto"/>
      </w:divBdr>
    </w:div>
    <w:div w:id="218709596">
      <w:bodyDiv w:val="1"/>
      <w:marLeft w:val="0"/>
      <w:marRight w:val="0"/>
      <w:marTop w:val="0"/>
      <w:marBottom w:val="0"/>
      <w:divBdr>
        <w:top w:val="none" w:sz="0" w:space="0" w:color="auto"/>
        <w:left w:val="none" w:sz="0" w:space="0" w:color="auto"/>
        <w:bottom w:val="none" w:sz="0" w:space="0" w:color="auto"/>
        <w:right w:val="none" w:sz="0" w:space="0" w:color="auto"/>
      </w:divBdr>
    </w:div>
    <w:div w:id="219874646">
      <w:bodyDiv w:val="1"/>
      <w:marLeft w:val="0"/>
      <w:marRight w:val="0"/>
      <w:marTop w:val="0"/>
      <w:marBottom w:val="0"/>
      <w:divBdr>
        <w:top w:val="none" w:sz="0" w:space="0" w:color="auto"/>
        <w:left w:val="none" w:sz="0" w:space="0" w:color="auto"/>
        <w:bottom w:val="none" w:sz="0" w:space="0" w:color="auto"/>
        <w:right w:val="none" w:sz="0" w:space="0" w:color="auto"/>
      </w:divBdr>
    </w:div>
    <w:div w:id="366181442">
      <w:bodyDiv w:val="1"/>
      <w:marLeft w:val="0"/>
      <w:marRight w:val="0"/>
      <w:marTop w:val="0"/>
      <w:marBottom w:val="0"/>
      <w:divBdr>
        <w:top w:val="none" w:sz="0" w:space="0" w:color="auto"/>
        <w:left w:val="none" w:sz="0" w:space="0" w:color="auto"/>
        <w:bottom w:val="none" w:sz="0" w:space="0" w:color="auto"/>
        <w:right w:val="none" w:sz="0" w:space="0" w:color="auto"/>
      </w:divBdr>
    </w:div>
    <w:div w:id="459803657">
      <w:bodyDiv w:val="1"/>
      <w:marLeft w:val="0"/>
      <w:marRight w:val="0"/>
      <w:marTop w:val="0"/>
      <w:marBottom w:val="0"/>
      <w:divBdr>
        <w:top w:val="none" w:sz="0" w:space="0" w:color="auto"/>
        <w:left w:val="none" w:sz="0" w:space="0" w:color="auto"/>
        <w:bottom w:val="none" w:sz="0" w:space="0" w:color="auto"/>
        <w:right w:val="none" w:sz="0" w:space="0" w:color="auto"/>
      </w:divBdr>
    </w:div>
    <w:div w:id="475415089">
      <w:bodyDiv w:val="1"/>
      <w:marLeft w:val="0"/>
      <w:marRight w:val="0"/>
      <w:marTop w:val="0"/>
      <w:marBottom w:val="0"/>
      <w:divBdr>
        <w:top w:val="none" w:sz="0" w:space="0" w:color="auto"/>
        <w:left w:val="none" w:sz="0" w:space="0" w:color="auto"/>
        <w:bottom w:val="none" w:sz="0" w:space="0" w:color="auto"/>
        <w:right w:val="none" w:sz="0" w:space="0" w:color="auto"/>
      </w:divBdr>
    </w:div>
    <w:div w:id="535898640">
      <w:bodyDiv w:val="1"/>
      <w:marLeft w:val="0"/>
      <w:marRight w:val="0"/>
      <w:marTop w:val="0"/>
      <w:marBottom w:val="0"/>
      <w:divBdr>
        <w:top w:val="none" w:sz="0" w:space="0" w:color="auto"/>
        <w:left w:val="none" w:sz="0" w:space="0" w:color="auto"/>
        <w:bottom w:val="none" w:sz="0" w:space="0" w:color="auto"/>
        <w:right w:val="none" w:sz="0" w:space="0" w:color="auto"/>
      </w:divBdr>
    </w:div>
    <w:div w:id="882327160">
      <w:bodyDiv w:val="1"/>
      <w:marLeft w:val="0"/>
      <w:marRight w:val="0"/>
      <w:marTop w:val="0"/>
      <w:marBottom w:val="0"/>
      <w:divBdr>
        <w:top w:val="none" w:sz="0" w:space="0" w:color="auto"/>
        <w:left w:val="none" w:sz="0" w:space="0" w:color="auto"/>
        <w:bottom w:val="none" w:sz="0" w:space="0" w:color="auto"/>
        <w:right w:val="none" w:sz="0" w:space="0" w:color="auto"/>
      </w:divBdr>
    </w:div>
    <w:div w:id="896892010">
      <w:bodyDiv w:val="1"/>
      <w:marLeft w:val="0"/>
      <w:marRight w:val="0"/>
      <w:marTop w:val="0"/>
      <w:marBottom w:val="0"/>
      <w:divBdr>
        <w:top w:val="none" w:sz="0" w:space="0" w:color="auto"/>
        <w:left w:val="none" w:sz="0" w:space="0" w:color="auto"/>
        <w:bottom w:val="none" w:sz="0" w:space="0" w:color="auto"/>
        <w:right w:val="none" w:sz="0" w:space="0" w:color="auto"/>
      </w:divBdr>
    </w:div>
    <w:div w:id="905072205">
      <w:bodyDiv w:val="1"/>
      <w:marLeft w:val="0"/>
      <w:marRight w:val="0"/>
      <w:marTop w:val="0"/>
      <w:marBottom w:val="0"/>
      <w:divBdr>
        <w:top w:val="none" w:sz="0" w:space="0" w:color="auto"/>
        <w:left w:val="none" w:sz="0" w:space="0" w:color="auto"/>
        <w:bottom w:val="none" w:sz="0" w:space="0" w:color="auto"/>
        <w:right w:val="none" w:sz="0" w:space="0" w:color="auto"/>
      </w:divBdr>
    </w:div>
    <w:div w:id="1035613990">
      <w:bodyDiv w:val="1"/>
      <w:marLeft w:val="0"/>
      <w:marRight w:val="0"/>
      <w:marTop w:val="0"/>
      <w:marBottom w:val="0"/>
      <w:divBdr>
        <w:top w:val="none" w:sz="0" w:space="0" w:color="auto"/>
        <w:left w:val="none" w:sz="0" w:space="0" w:color="auto"/>
        <w:bottom w:val="none" w:sz="0" w:space="0" w:color="auto"/>
        <w:right w:val="none" w:sz="0" w:space="0" w:color="auto"/>
      </w:divBdr>
    </w:div>
    <w:div w:id="1061175379">
      <w:bodyDiv w:val="1"/>
      <w:marLeft w:val="0"/>
      <w:marRight w:val="0"/>
      <w:marTop w:val="0"/>
      <w:marBottom w:val="0"/>
      <w:divBdr>
        <w:top w:val="none" w:sz="0" w:space="0" w:color="auto"/>
        <w:left w:val="none" w:sz="0" w:space="0" w:color="auto"/>
        <w:bottom w:val="none" w:sz="0" w:space="0" w:color="auto"/>
        <w:right w:val="none" w:sz="0" w:space="0" w:color="auto"/>
      </w:divBdr>
    </w:div>
    <w:div w:id="1159812038">
      <w:bodyDiv w:val="1"/>
      <w:marLeft w:val="0"/>
      <w:marRight w:val="0"/>
      <w:marTop w:val="0"/>
      <w:marBottom w:val="0"/>
      <w:divBdr>
        <w:top w:val="none" w:sz="0" w:space="0" w:color="auto"/>
        <w:left w:val="none" w:sz="0" w:space="0" w:color="auto"/>
        <w:bottom w:val="none" w:sz="0" w:space="0" w:color="auto"/>
        <w:right w:val="none" w:sz="0" w:space="0" w:color="auto"/>
      </w:divBdr>
    </w:div>
    <w:div w:id="1345017703">
      <w:bodyDiv w:val="1"/>
      <w:marLeft w:val="0"/>
      <w:marRight w:val="0"/>
      <w:marTop w:val="0"/>
      <w:marBottom w:val="0"/>
      <w:divBdr>
        <w:top w:val="none" w:sz="0" w:space="0" w:color="auto"/>
        <w:left w:val="none" w:sz="0" w:space="0" w:color="auto"/>
        <w:bottom w:val="none" w:sz="0" w:space="0" w:color="auto"/>
        <w:right w:val="none" w:sz="0" w:space="0" w:color="auto"/>
      </w:divBdr>
    </w:div>
    <w:div w:id="1461918786">
      <w:bodyDiv w:val="1"/>
      <w:marLeft w:val="0"/>
      <w:marRight w:val="0"/>
      <w:marTop w:val="0"/>
      <w:marBottom w:val="0"/>
      <w:divBdr>
        <w:top w:val="none" w:sz="0" w:space="0" w:color="auto"/>
        <w:left w:val="none" w:sz="0" w:space="0" w:color="auto"/>
        <w:bottom w:val="none" w:sz="0" w:space="0" w:color="auto"/>
        <w:right w:val="none" w:sz="0" w:space="0" w:color="auto"/>
      </w:divBdr>
    </w:div>
    <w:div w:id="1614940115">
      <w:bodyDiv w:val="1"/>
      <w:marLeft w:val="0"/>
      <w:marRight w:val="0"/>
      <w:marTop w:val="0"/>
      <w:marBottom w:val="0"/>
      <w:divBdr>
        <w:top w:val="none" w:sz="0" w:space="0" w:color="auto"/>
        <w:left w:val="none" w:sz="0" w:space="0" w:color="auto"/>
        <w:bottom w:val="none" w:sz="0" w:space="0" w:color="auto"/>
        <w:right w:val="none" w:sz="0" w:space="0" w:color="auto"/>
      </w:divBdr>
    </w:div>
    <w:div w:id="1675572147">
      <w:bodyDiv w:val="1"/>
      <w:marLeft w:val="0"/>
      <w:marRight w:val="0"/>
      <w:marTop w:val="0"/>
      <w:marBottom w:val="0"/>
      <w:divBdr>
        <w:top w:val="none" w:sz="0" w:space="0" w:color="auto"/>
        <w:left w:val="none" w:sz="0" w:space="0" w:color="auto"/>
        <w:bottom w:val="none" w:sz="0" w:space="0" w:color="auto"/>
        <w:right w:val="none" w:sz="0" w:space="0" w:color="auto"/>
      </w:divBdr>
    </w:div>
    <w:div w:id="1848012776">
      <w:bodyDiv w:val="1"/>
      <w:marLeft w:val="0"/>
      <w:marRight w:val="0"/>
      <w:marTop w:val="0"/>
      <w:marBottom w:val="0"/>
      <w:divBdr>
        <w:top w:val="none" w:sz="0" w:space="0" w:color="auto"/>
        <w:left w:val="none" w:sz="0" w:space="0" w:color="auto"/>
        <w:bottom w:val="none" w:sz="0" w:space="0" w:color="auto"/>
        <w:right w:val="none" w:sz="0" w:space="0" w:color="auto"/>
      </w:divBdr>
    </w:div>
    <w:div w:id="1850949465">
      <w:bodyDiv w:val="1"/>
      <w:marLeft w:val="0"/>
      <w:marRight w:val="0"/>
      <w:marTop w:val="0"/>
      <w:marBottom w:val="0"/>
      <w:divBdr>
        <w:top w:val="none" w:sz="0" w:space="0" w:color="auto"/>
        <w:left w:val="none" w:sz="0" w:space="0" w:color="auto"/>
        <w:bottom w:val="none" w:sz="0" w:space="0" w:color="auto"/>
        <w:right w:val="none" w:sz="0" w:space="0" w:color="auto"/>
      </w:divBdr>
    </w:div>
    <w:div w:id="1928004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b:Source>
    <b:Tag>Placeholder1</b:Tag>
    <b:SourceType>Book</b:SourceType>
    <b:Guid>{C3E734FD-4F96-48EA-93C1-59CDFFB97445}</b:Guid>
    <b:RefOrder>3</b:RefOrder>
  </b:Source>
  <b:Source>
    <b:Tag>Cha34</b:Tag>
    <b:SourceType>JournalArticle</b:SourceType>
    <b:Guid>{111BA785-55F1-481D-8F39-523AE85CD9D8}</b:Guid>
    <b:Title>On the Hindu Quadrature of the Circle, and the Infinite Series of the Proportion of the Circumfrence to the Diameter Exhibited in the Four S'astras, the Tantra Sangraham, Yucti Bhasa, Carana Padhati, and Sadratnamala.</b:Title>
    <b:Year>1834</b:Year>
    <b:Author>
      <b:Author>
        <b:NameList>
          <b:Person>
            <b:Last>Whish</b:Last>
            <b:First>Charles</b:First>
            <b:Middle>M.</b:Middle>
          </b:Person>
        </b:NameList>
      </b:Author>
    </b:Author>
    <b:JournalName>Transactions of the Royal Asiatic Society of Great Britisn and Ireland</b:JournalName>
    <b:Pages>509-501</b:Pages>
    <b:Volume>3</b:Volume>
    <b:Issue>3</b:Issue>
    <b:RefOrder>2</b:RefOrder>
  </b:Source>
  <b:Source>
    <b:Tag>Pho14</b:Tag>
    <b:SourceType>JournalArticle</b:SourceType>
    <b:Guid>{97792E21-A445-49AE-9FA1-CC2C1EDC21C8}</b:Guid>
    <b:Author>
      <b:Author>
        <b:NameList>
          <b:Person>
            <b:Last>Webb</b:Last>
            <b:First>Phoebe</b:First>
          </b:Person>
        </b:NameList>
      </b:Author>
    </b:Author>
    <b:Title>The developement of Calculus in the Kerala School</b:Title>
    <b:JournalName>The Mathematics Ethusiast</b:JournalName>
    <b:Year>2014</b:Year>
    <b:Pages>495-511</b:Pages>
    <b:Volume>11</b:Volume>
    <b:Issue>3</b:Issue>
    <b:RefOrder>1</b:RefOrder>
  </b:Source>
</b:Sources>
</file>

<file path=customXml/itemProps1.xml><?xml version="1.0" encoding="utf-8"?>
<ds:datastoreItem xmlns:ds="http://schemas.openxmlformats.org/officeDocument/2006/customXml" ds:itemID="{24D05A41-B775-43D2-937C-B527BF56FF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1175</TotalTime>
  <Pages>3</Pages>
  <Words>1167</Words>
  <Characters>6658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Emery</dc:creator>
  <cp:keywords/>
  <dc:description/>
  <cp:lastModifiedBy>Daniel Emery</cp:lastModifiedBy>
  <cp:revision>244</cp:revision>
  <cp:lastPrinted>2020-03-02T16:57:00Z</cp:lastPrinted>
  <dcterms:created xsi:type="dcterms:W3CDTF">2020-03-01T10:36:00Z</dcterms:created>
  <dcterms:modified xsi:type="dcterms:W3CDTF">2020-03-09T13:50:00Z</dcterms:modified>
</cp:coreProperties>
</file>