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97C9F1" w14:textId="77777777" w:rsidR="000E629D" w:rsidRDefault="000E629D" w:rsidP="000E629D">
      <w:pPr>
        <w:pStyle w:val="Title"/>
      </w:pPr>
      <w:r>
        <w:t>The maths of Rubik’s cube</w:t>
      </w:r>
    </w:p>
    <w:p w14:paraId="7E2B176F" w14:textId="77777777" w:rsidR="000E629D" w:rsidRDefault="000E629D" w:rsidP="000E629D"/>
    <w:p w14:paraId="562F0B50" w14:textId="77777777" w:rsidR="000E629D" w:rsidRDefault="000E629D" w:rsidP="000E629D">
      <w:r>
        <w:t xml:space="preserve">The Rubik’s cube has been one of the hardest puzzles that humans have ever tried to solve. The simple three by three-by-three cube was first developed in 1974 by Erno Rubik, when the design was first patented in 1975. The Rubik’s cube is a 3D combination puzzle made up of 3 by 3 by 3 arrangement with six </w:t>
      </w:r>
      <w:r w:rsidRPr="00216A33">
        <w:rPr>
          <w:color w:val="000000" w:themeColor="text1"/>
        </w:rPr>
        <w:t xml:space="preserve">faces covered </w:t>
      </w:r>
      <w:r>
        <w:t>by nine stickers of a solid colour; either white ,red, blue, orange, green or yellow.</w:t>
      </w:r>
    </w:p>
    <w:p w14:paraId="65D1DDFE" w14:textId="77777777" w:rsidR="000E629D" w:rsidRDefault="000E629D" w:rsidP="000E629D"/>
    <w:p w14:paraId="3F3E429F" w14:textId="77777777" w:rsidR="000E629D" w:rsidRDefault="000E629D" w:rsidP="000E629D">
      <w:r>
        <w:t>From the backdrop of Hungary’s mathematical greatest, Rubik strove to solve the problem of “how to move blocks independently without having to disassemble the cube?” As the first apparatus to enable this discovery, the Rubik’s cube was a ground-breaking new tool in the pursuit of knowledge. However, with forty-three quintillion possibilities,43,252,003,274,489,856,000 and only a one in twenty viable chance of mastering the puzzle, the odds are never in the player’s favour. Therefore random moves are unlikely to enable a solution to the puzzle, and mathematical tools are required.</w:t>
      </w:r>
    </w:p>
    <w:p w14:paraId="528EB670" w14:textId="77777777" w:rsidR="000E629D" w:rsidRDefault="000E629D" w:rsidP="000E629D"/>
    <w:p w14:paraId="47F9B703" w14:textId="72004DD1" w:rsidR="000E629D" w:rsidRDefault="00C04139" w:rsidP="000E629D">
      <w:r>
        <w:t xml:space="preserve">In essence group theory is a way to study sets that are able to satisfy certain properties and operations such as multiplication, subtraction and division and </w:t>
      </w:r>
      <w:r w:rsidR="000E629D">
        <w:t xml:space="preserve">is </w:t>
      </w:r>
      <w:r>
        <w:t xml:space="preserve">used as </w:t>
      </w:r>
      <w:r w:rsidR="000E629D">
        <w:t xml:space="preserve">the common method to solve the Rubik’s cube. Here an axiom is interpreted as being similar to a rule; a proposition which is widely accepted to be true. In group theory, there are four main axioms: closure, associative, identity and inverse. </w:t>
      </w:r>
    </w:p>
    <w:p w14:paraId="51EEBD23" w14:textId="77777777" w:rsidR="000E629D" w:rsidRDefault="000E629D" w:rsidP="000E629D">
      <w:r>
        <w:rPr>
          <w:noProof/>
        </w:rPr>
        <w:drawing>
          <wp:anchor distT="0" distB="0" distL="114300" distR="114300" simplePos="0" relativeHeight="251659264" behindDoc="0" locked="0" layoutInCell="1" allowOverlap="1" wp14:anchorId="0E1658FD" wp14:editId="0A60ACFE">
            <wp:simplePos x="0" y="0"/>
            <wp:positionH relativeFrom="column">
              <wp:posOffset>-64546</wp:posOffset>
            </wp:positionH>
            <wp:positionV relativeFrom="paragraph">
              <wp:posOffset>215153</wp:posOffset>
            </wp:positionV>
            <wp:extent cx="1853531" cy="1226372"/>
            <wp:effectExtent l="0" t="0" r="1270" b="571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1-03-09 at 11.02.5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53531" cy="1226372"/>
                    </a:xfrm>
                    <a:prstGeom prst="rect">
                      <a:avLst/>
                    </a:prstGeom>
                  </pic:spPr>
                </pic:pic>
              </a:graphicData>
            </a:graphic>
            <wp14:sizeRelH relativeFrom="page">
              <wp14:pctWidth>0</wp14:pctWidth>
            </wp14:sizeRelH>
            <wp14:sizeRelV relativeFrom="page">
              <wp14:pctHeight>0</wp14:pctHeight>
            </wp14:sizeRelV>
          </wp:anchor>
        </w:drawing>
      </w:r>
    </w:p>
    <w:p w14:paraId="4EDAD9C1" w14:textId="77777777" w:rsidR="000E629D" w:rsidRDefault="000E629D" w:rsidP="000E629D">
      <w:r>
        <w:t>Closure means that any operation has to be closed to only group elements and will produce an element of the group. For example, on the Rubik’s cube if a face is turned to the left once the result will still end up with an element in the group. This is best described in picture form above</w:t>
      </w:r>
      <w:r>
        <w:rPr>
          <w:rStyle w:val="FootnoteReference"/>
        </w:rPr>
        <w:footnoteReference w:id="1"/>
      </w:r>
      <w:r>
        <w:t>. As can be seen, the colour combination stays the same however the pattern differs.</w:t>
      </w:r>
    </w:p>
    <w:p w14:paraId="3CE0AC7C" w14:textId="77777777" w:rsidR="000E629D" w:rsidRDefault="000E629D" w:rsidP="000E629D"/>
    <w:p w14:paraId="1245F60E" w14:textId="77777777" w:rsidR="000E629D" w:rsidRDefault="000E629D" w:rsidP="000E629D">
      <w:r>
        <w:t xml:space="preserve">Associative means  that no matter where brackets are placed whilst carrying out an operation, the result will always be the same for all outcomes. In other words, if the cube is twisted left then left again, then this is the same as saying once left then twice left or in numerical terms (1+1)+1=1+(1+1). </w:t>
      </w:r>
    </w:p>
    <w:p w14:paraId="20FD24DF" w14:textId="77777777" w:rsidR="000E629D" w:rsidRDefault="000E629D" w:rsidP="000E629D"/>
    <w:p w14:paraId="2A7C31D1" w14:textId="77777777" w:rsidR="000E629D" w:rsidRDefault="000E629D" w:rsidP="000E629D">
      <w:r>
        <w:t>There is always an identity within the group of elements, meaning if the identity is applied to any other element within the group, the same element will always occur. When equating this to integers and a face of a Rubik’s cube, the identity is 0 as this will mean that the original element will remain the same. For example, 1+0=1 or blue+0=blue. For every element in the group, the inverse will be evident. If the inverse and the element are added together, this addition will result in the identity being produced. In mathematical terms,  1+-</w:t>
      </w:r>
      <w:r>
        <w:lastRenderedPageBreak/>
        <w:t xml:space="preserve">1=0 , this is the same as adding together the inverse pattern on a Rubik’s cube face. Once this knowledge is applied to the full-sized Rubik’s cube the axioms are still met, however there are further elements and operations which take place as the player can turn each row and column multiple times. Once the positioning is changed, each position is called a permutation and as there are more elements compared to just the face of the Rubik’s cube, there are considerably more permutations. </w:t>
      </w:r>
    </w:p>
    <w:p w14:paraId="798FD83E" w14:textId="77777777" w:rsidR="000E629D" w:rsidRDefault="000E629D" w:rsidP="000E629D"/>
    <w:p w14:paraId="1E67C101" w14:textId="77777777" w:rsidR="000E629D" w:rsidRDefault="000E629D" w:rsidP="000E629D">
      <w:pPr>
        <w:rPr>
          <w:rFonts w:eastAsiaTheme="minorEastAsia"/>
        </w:rPr>
      </w:pPr>
      <w:r>
        <w:t>The mathematics required to calculate the number of permutations that a simple three by three-by-three Rubik’s cube will have is mind-blowing. Classic Rubik’s cubes have six faces with varying different coloured squares (red, orange, green, yellow, white and blue). According to Ryan Heise’s</w:t>
      </w:r>
      <w:r>
        <w:rPr>
          <w:rStyle w:val="FootnoteReference"/>
        </w:rPr>
        <w:footnoteReference w:id="2"/>
      </w:r>
      <w:r>
        <w:t xml:space="preserve"> ‘Laws of the Cube’, a legal move is a move without taking the cube apart and then putting it back together. The cube has 6 centres, each being in distinct colours and fixed. In addition, the cube consists of 12 edges and 8 corners, all of which are able to be easily moved and altered. The movability of the edges and corners creates different permutations because the player is  able to manipulate the position of the varying colours. The number of permutations for the corners is 8!( 8x7x6x5x4x3x2x1), as it demonstrates how many times the player can choose </w:t>
      </w:r>
      <w:r w:rsidRPr="66F650C9">
        <w:rPr>
          <w:i/>
        </w:rPr>
        <w:t xml:space="preserve">k </w:t>
      </w:r>
      <w:r>
        <w:t xml:space="preserve">possibilities from </w:t>
      </w:r>
      <w:r w:rsidRPr="66F650C9">
        <w:rPr>
          <w:i/>
        </w:rPr>
        <w:t xml:space="preserve">n </w:t>
      </w:r>
      <w:r>
        <w:t>items if their order does not matter.</w:t>
      </w:r>
      <w:r>
        <w:rPr>
          <w:rStyle w:val="FootnoteReference"/>
        </w:rPr>
        <w:footnoteReference w:id="3"/>
      </w:r>
      <w:r>
        <w:t xml:space="preserve"> However, the corner of a Rubik’s cube is comprised of three colours which are fixed according to the positioning of the other coloured squares. This means that the participant can only manipulate 7 corners independent of each other as the 8 corner is a product of the positioning of the other corners. So, the number of different positionings for the colours will be </w:t>
      </w:r>
      <m:oMath>
        <m:sSup>
          <m:sSupPr>
            <m:ctrlPr>
              <w:rPr>
                <w:rFonts w:ascii="Cambria Math" w:hAnsi="Cambria Math"/>
                <w:i/>
              </w:rPr>
            </m:ctrlPr>
          </m:sSupPr>
          <m:e>
            <m:r>
              <w:rPr>
                <w:rFonts w:ascii="Cambria Math" w:hAnsi="Cambria Math"/>
              </w:rPr>
              <m:t>3</m:t>
            </m:r>
          </m:e>
          <m:sup>
            <m:r>
              <w:rPr>
                <w:rFonts w:ascii="Cambria Math" w:hAnsi="Cambria Math"/>
              </w:rPr>
              <m:t>7</m:t>
            </m:r>
          </m:sup>
        </m:sSup>
      </m:oMath>
      <w:r>
        <w:rPr>
          <w:rFonts w:eastAsiaTheme="minorEastAsia"/>
        </w:rPr>
        <w:t xml:space="preserve">. </w:t>
      </w:r>
      <w:r>
        <w:t xml:space="preserve">Overall, the number of different permutations for the corners can be calculated by using the equation </w:t>
      </w:r>
      <m:oMath>
        <m:r>
          <w:rPr>
            <w:rFonts w:ascii="Cambria Math" w:hAnsi="Cambria Math"/>
          </w:rPr>
          <m:t xml:space="preserve">8! × </m:t>
        </m:r>
        <m:sSup>
          <m:sSupPr>
            <m:ctrlPr>
              <w:rPr>
                <w:rFonts w:ascii="Cambria Math" w:hAnsi="Cambria Math"/>
                <w:i/>
              </w:rPr>
            </m:ctrlPr>
          </m:sSupPr>
          <m:e>
            <m:r>
              <w:rPr>
                <w:rFonts w:ascii="Cambria Math" w:hAnsi="Cambria Math"/>
              </w:rPr>
              <m:t>3</m:t>
            </m:r>
          </m:e>
          <m:sup>
            <m:r>
              <w:rPr>
                <w:rFonts w:ascii="Cambria Math" w:hAnsi="Cambria Math"/>
              </w:rPr>
              <m:t>7</m:t>
            </m:r>
          </m:sup>
        </m:sSup>
      </m:oMath>
      <w:r>
        <w:rPr>
          <w:rFonts w:eastAsiaTheme="minorEastAsia"/>
        </w:rPr>
        <w:t xml:space="preserve">. </w:t>
      </w:r>
    </w:p>
    <w:p w14:paraId="0D640E38" w14:textId="77777777" w:rsidR="000E629D" w:rsidRDefault="000E629D" w:rsidP="000E629D">
      <w:pPr>
        <w:rPr>
          <w:rFonts w:eastAsiaTheme="minorEastAsia"/>
        </w:rPr>
      </w:pPr>
      <w:r>
        <w:rPr>
          <w:rFonts w:eastAsiaTheme="minorEastAsia"/>
        </w:rPr>
        <w:t xml:space="preserve">The 12 edges of the Rubik’s cube will mean the number of permutations will be 12! (12x11x10x9x8x7x6x5x4x3x2x1). Two colours meet at the edges and just like with the corners the participant can only manipulate 11 of the edges as the twelfth will be a product of the other manipulations of the cube. </w:t>
      </w:r>
      <w:r w:rsidRPr="66F650C9">
        <w:rPr>
          <w:rFonts w:eastAsiaTheme="minorEastAsia"/>
        </w:rPr>
        <w:t>Hence,</w:t>
      </w:r>
      <w:r>
        <w:rPr>
          <w:rFonts w:eastAsiaTheme="minorEastAsia"/>
        </w:rPr>
        <w:t xml:space="preserve"> the equation to work out the number of permutations due to manipulations to the edges is </w:t>
      </w:r>
      <m:oMath>
        <m:r>
          <w:rPr>
            <w:rFonts w:ascii="Cambria Math" w:eastAsiaTheme="minorEastAsia" w:hAnsi="Cambria Math"/>
          </w:rPr>
          <m:t xml:space="preserve">12! ×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11</m:t>
            </m:r>
          </m:sup>
        </m:sSup>
      </m:oMath>
      <w:r>
        <w:rPr>
          <w:rFonts w:eastAsiaTheme="minorEastAsia"/>
        </w:rPr>
        <w:t xml:space="preserve">. Currently </w:t>
      </w:r>
      <w:r w:rsidRPr="66F650C9">
        <w:rPr>
          <w:rFonts w:eastAsiaTheme="minorEastAsia"/>
        </w:rPr>
        <w:t>mathematicians</w:t>
      </w:r>
      <w:r>
        <w:rPr>
          <w:rFonts w:eastAsiaTheme="minorEastAsia"/>
        </w:rPr>
        <w:t xml:space="preserve"> have been working on the assumption that </w:t>
      </w:r>
      <w:r w:rsidRPr="66F650C9">
        <w:rPr>
          <w:rFonts w:eastAsiaTheme="minorEastAsia"/>
        </w:rPr>
        <w:t>the player is</w:t>
      </w:r>
      <w:r>
        <w:rPr>
          <w:rFonts w:eastAsiaTheme="minorEastAsia"/>
        </w:rPr>
        <w:t xml:space="preserve"> able to swap two corners or two edges in isolation, however this is impossible to do. </w:t>
      </w:r>
      <w:r w:rsidRPr="66F650C9">
        <w:rPr>
          <w:rFonts w:eastAsiaTheme="minorEastAsia"/>
        </w:rPr>
        <w:t>Thus, this</w:t>
      </w:r>
      <w:r>
        <w:rPr>
          <w:rFonts w:eastAsiaTheme="minorEastAsia"/>
        </w:rPr>
        <w:t xml:space="preserve"> means that impossible outcomes have been counted as </w:t>
      </w:r>
      <w:r w:rsidRPr="66F650C9">
        <w:rPr>
          <w:rFonts w:eastAsiaTheme="minorEastAsia"/>
        </w:rPr>
        <w:t xml:space="preserve">consideration has been afforded to </w:t>
      </w:r>
      <w:r>
        <w:rPr>
          <w:rFonts w:eastAsiaTheme="minorEastAsia"/>
        </w:rPr>
        <w:t xml:space="preserve">each manipulation of the cube as </w:t>
      </w:r>
      <w:r w:rsidRPr="66F650C9">
        <w:rPr>
          <w:rFonts w:eastAsiaTheme="minorEastAsia"/>
        </w:rPr>
        <w:t>working independently</w:t>
      </w:r>
      <w:r>
        <w:rPr>
          <w:rFonts w:eastAsiaTheme="minorEastAsia"/>
        </w:rPr>
        <w:t xml:space="preserve"> of each other. To remove these impossible </w:t>
      </w:r>
      <w:r w:rsidRPr="66F650C9">
        <w:rPr>
          <w:rFonts w:eastAsiaTheme="minorEastAsia"/>
        </w:rPr>
        <w:t xml:space="preserve">outcomes </w:t>
      </w:r>
      <w:r>
        <w:rPr>
          <w:rFonts w:eastAsiaTheme="minorEastAsia"/>
        </w:rPr>
        <w:t xml:space="preserve">we need to half the outcomes. </w:t>
      </w:r>
    </w:p>
    <w:p w14:paraId="52823F6D" w14:textId="77777777" w:rsidR="000E629D" w:rsidRDefault="000E629D" w:rsidP="000E629D">
      <w:pPr>
        <w:rPr>
          <w:rFonts w:eastAsiaTheme="minorEastAsia"/>
        </w:rPr>
      </w:pPr>
    </w:p>
    <w:p w14:paraId="49A7D05A" w14:textId="77777777" w:rsidR="000E629D" w:rsidRDefault="000E629D" w:rsidP="000E629D">
      <w:pPr>
        <w:rPr>
          <w:rFonts w:eastAsiaTheme="minorEastAsia"/>
        </w:rPr>
      </w:pPr>
      <w:r>
        <w:rPr>
          <w:rFonts w:eastAsiaTheme="minorEastAsia"/>
        </w:rPr>
        <w:t xml:space="preserve">The Overall Method: </w:t>
      </w:r>
    </w:p>
    <w:p w14:paraId="45F0E8DB" w14:textId="77777777" w:rsidR="000E629D" w:rsidRDefault="000E629D" w:rsidP="000E629D">
      <w:pPr>
        <w:jc w:val="center"/>
        <w:rPr>
          <w:rFonts w:eastAsiaTheme="minorEastAsia"/>
        </w:rPr>
      </w:pPr>
      <m:oMath>
        <m:r>
          <m:rPr>
            <m:sty m:val="p"/>
          </m:rPr>
          <w:rPr>
            <w:rFonts w:ascii="Cambria Math" w:hAnsi="Cambria Math"/>
          </w:rPr>
          <m:t xml:space="preserve"> </m:t>
        </m:r>
        <m:r>
          <w:rPr>
            <w:rFonts w:ascii="Cambria Math" w:hAnsi="Cambria Math"/>
          </w:rPr>
          <m:t xml:space="preserve">8! × </m:t>
        </m:r>
        <m:sSup>
          <m:sSupPr>
            <m:ctrlPr>
              <w:rPr>
                <w:rFonts w:ascii="Cambria Math" w:hAnsi="Cambria Math"/>
                <w:i/>
              </w:rPr>
            </m:ctrlPr>
          </m:sSupPr>
          <m:e>
            <m:r>
              <w:rPr>
                <w:rFonts w:ascii="Cambria Math" w:hAnsi="Cambria Math"/>
              </w:rPr>
              <m:t>3</m:t>
            </m:r>
          </m:e>
          <m:sup>
            <m:r>
              <w:rPr>
                <w:rFonts w:ascii="Cambria Math" w:hAnsi="Cambria Math"/>
              </w:rPr>
              <m:t>7</m:t>
            </m:r>
          </m:sup>
        </m:sSup>
      </m:oMath>
      <w:r>
        <w:rPr>
          <w:rFonts w:eastAsiaTheme="minorEastAsia"/>
        </w:rPr>
        <w:t>=88179840</w:t>
      </w:r>
    </w:p>
    <w:p w14:paraId="4622036F" w14:textId="77777777" w:rsidR="000E629D" w:rsidRPr="00AD0BCB" w:rsidRDefault="000E629D" w:rsidP="000E629D">
      <w:pPr>
        <w:jc w:val="center"/>
        <w:rPr>
          <w:rFonts w:eastAsiaTheme="minorEastAsia"/>
        </w:rPr>
      </w:pPr>
      <m:oMathPara>
        <m:oMath>
          <m:r>
            <w:rPr>
              <w:rFonts w:ascii="Cambria Math" w:eastAsiaTheme="minorEastAsia" w:hAnsi="Cambria Math"/>
            </w:rPr>
            <m:t xml:space="preserve">12! ×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11</m:t>
              </m:r>
            </m:sup>
          </m:sSup>
          <m:r>
            <w:rPr>
              <w:rFonts w:ascii="Cambria Math" w:hAnsi="Cambria Math"/>
            </w:rPr>
            <m:t xml:space="preserve">=9.809952768 </m:t>
          </m:r>
          <m:sSup>
            <m:sSupPr>
              <m:ctrlPr>
                <w:rPr>
                  <w:rFonts w:ascii="Cambria Math" w:hAnsi="Cambria Math"/>
                  <w:i/>
                </w:rPr>
              </m:ctrlPr>
            </m:sSupPr>
            <m:e>
              <m:r>
                <w:rPr>
                  <w:rFonts w:ascii="Cambria Math" w:hAnsi="Cambria Math"/>
                </w:rPr>
                <m:t>×10</m:t>
              </m:r>
            </m:e>
            <m:sup>
              <m:r>
                <w:rPr>
                  <w:rFonts w:ascii="Cambria Math" w:hAnsi="Cambria Math"/>
                </w:rPr>
                <m:t>11</m:t>
              </m:r>
            </m:sup>
          </m:sSup>
        </m:oMath>
      </m:oMathPara>
    </w:p>
    <w:p w14:paraId="21EA860E" w14:textId="77777777" w:rsidR="000E629D" w:rsidRPr="00AD0BCB" w:rsidRDefault="001C7B72" w:rsidP="000E629D">
      <w:pPr>
        <w:jc w:val="center"/>
        <w:rPr>
          <w:rFonts w:eastAsiaTheme="minorEastAsia"/>
        </w:rPr>
      </w:pPr>
      <m:oMathPara>
        <m:oMath>
          <m:d>
            <m:dPr>
              <m:ctrlPr>
                <w:rPr>
                  <w:rFonts w:ascii="Cambria Math" w:eastAsiaTheme="minorEastAsia" w:hAnsi="Cambria Math"/>
                  <w:i/>
                </w:rPr>
              </m:ctrlPr>
            </m:dPr>
            <m:e>
              <m:r>
                <w:rPr>
                  <w:rFonts w:ascii="Cambria Math" w:hAnsi="Cambria Math"/>
                </w:rPr>
                <m:t xml:space="preserve">8! × </m:t>
              </m:r>
              <m:sSup>
                <m:sSupPr>
                  <m:ctrlPr>
                    <w:rPr>
                      <w:rFonts w:ascii="Cambria Math" w:hAnsi="Cambria Math"/>
                      <w:i/>
                    </w:rPr>
                  </m:ctrlPr>
                </m:sSupPr>
                <m:e>
                  <m:r>
                    <w:rPr>
                      <w:rFonts w:ascii="Cambria Math" w:hAnsi="Cambria Math"/>
                    </w:rPr>
                    <m:t>3</m:t>
                  </m:r>
                </m:e>
                <m:sup>
                  <m:r>
                    <w:rPr>
                      <w:rFonts w:ascii="Cambria Math" w:hAnsi="Cambria Math"/>
                    </w:rPr>
                    <m:t>7</m:t>
                  </m:r>
                </m:sup>
              </m:sSup>
              <m:ctrlPr>
                <w:rPr>
                  <w:rFonts w:ascii="Cambria Math" w:hAnsi="Cambria Math"/>
                  <w:i/>
                </w:rPr>
              </m:ctrlPr>
            </m:e>
          </m:d>
          <m:r>
            <w:rPr>
              <w:rFonts w:ascii="Cambria Math" w:hAnsi="Cambria Math"/>
            </w:rPr>
            <m:t>×</m:t>
          </m:r>
          <m:d>
            <m:dPr>
              <m:ctrlPr>
                <w:rPr>
                  <w:rFonts w:ascii="Cambria Math" w:hAnsi="Cambria Math"/>
                  <w:i/>
                </w:rPr>
              </m:ctrlPr>
            </m:dPr>
            <m:e>
              <m:r>
                <w:rPr>
                  <w:rFonts w:ascii="Cambria Math" w:eastAsiaTheme="minorEastAsia" w:hAnsi="Cambria Math"/>
                </w:rPr>
                <m:t xml:space="preserve"> 12! ×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11</m:t>
                  </m:r>
                </m:sup>
              </m:sSup>
              <m:ctrlPr>
                <w:rPr>
                  <w:rFonts w:ascii="Cambria Math" w:eastAsiaTheme="minorEastAsia" w:hAnsi="Cambria Math"/>
                  <w:i/>
                </w:rPr>
              </m:ctrlPr>
            </m:e>
          </m:d>
          <m:r>
            <w:rPr>
              <w:rFonts w:ascii="Cambria Math" w:eastAsiaTheme="minorEastAsia" w:hAnsi="Cambria Math"/>
            </w:rPr>
            <m:t>×0.5=43,252,003,274,489,856,000</m:t>
          </m:r>
        </m:oMath>
      </m:oMathPara>
    </w:p>
    <w:p w14:paraId="3D257A90" w14:textId="77777777" w:rsidR="000E629D" w:rsidRDefault="000E629D" w:rsidP="000E629D">
      <w:pPr>
        <w:jc w:val="center"/>
      </w:pPr>
    </w:p>
    <w:p w14:paraId="61DBB7FC" w14:textId="77777777" w:rsidR="000E629D" w:rsidRDefault="000E629D" w:rsidP="000E629D">
      <w:r>
        <w:lastRenderedPageBreak/>
        <w:t>‘God’s Number’ refers to that, given any one of the 43,252,003,274,489,856,000 possibilities, it is possible to return to the solved state in only 20 moves.</w:t>
      </w:r>
      <w:r>
        <w:rPr>
          <w:rStyle w:val="FootnoteReference"/>
        </w:rPr>
        <w:footnoteReference w:id="4"/>
      </w:r>
      <w:r>
        <w:t xml:space="preserve"> The term ‘God’s Number’ was coined as many thought the mind that would be needed to figure out the shortest sequence to solve the Rubik’s cube would be far greater than a human’s, therefore only an omnipotent deity would be able to achieve such a huge feat.</w:t>
      </w:r>
      <w:r>
        <w:rPr>
          <w:rStyle w:val="FootnoteReference"/>
        </w:rPr>
        <w:t>5</w:t>
      </w:r>
      <w:r>
        <w:t>The discovery of ‘God’s Number’ is fairly recent, only being discovered in 2010 by a team of four mathematicians. The quartet met with success by first partitioning the possible permutations into 2,217,093,120 sets then reducing further by discounting sets due to symmetry and set covering.  Once they had significantly reduced the number of sets of permutations, the four wrote a computer program that could solve a set in around 20 seconds.  A number of powerful super computers were donated by Google to perform this calculation which led to discovering ‘God’s Number’ in just a few short weeks. To put this into perspective, the average desktop would take around 1.1 billion seconds, or 35 Central Processing Unit (CPU) years. A CPU year is simply the amount of time taken by a computer to do computing work during one year of service.</w:t>
      </w:r>
      <w:r>
        <w:rPr>
          <w:rStyle w:val="FootnoteReference"/>
        </w:rPr>
        <w:footnoteReference w:id="5"/>
      </w:r>
      <w:r>
        <w:t xml:space="preserve"> </w:t>
      </w:r>
    </w:p>
    <w:p w14:paraId="452E17F0" w14:textId="77777777" w:rsidR="000E629D" w:rsidRDefault="000E629D" w:rsidP="000E629D"/>
    <w:p w14:paraId="1459206A" w14:textId="77777777" w:rsidR="000E629D" w:rsidRDefault="000E629D" w:rsidP="000E629D">
      <w:r>
        <w:t xml:space="preserve">Rubik’s cube is one of the most challenging but most celebrated puzzles to come into existence, providing mathematicians with the opportunity to explore the numerous possible solutions the cube creates. The diverse number of permutations only further confounds players with the constant question of how to move the blocks independently without having to disassemble the cube, to solve the puzzle they must dissect the problem and learn the sophisticated mathematics in order to conquer the cube. </w:t>
      </w:r>
    </w:p>
    <w:p w14:paraId="3A3D4E43" w14:textId="77777777" w:rsidR="000E629D" w:rsidRDefault="000E629D" w:rsidP="000E629D"/>
    <w:p w14:paraId="5CF02C51" w14:textId="10A331A0" w:rsidR="000E629D" w:rsidRDefault="000E629D" w:rsidP="000E629D">
      <w:r>
        <w:t>The Rubik’s Cube showcases the usefulness of abstract maths, such as group theory, to help solve real world problems as it was used in 2010 to finally solve the thirty-year question of the lowest amount of turns to complete the cube. According to Professor Morley Davidson, a mathematician from Kent State University in the United States, “...the magic number is 20.” The use of factorials to work out the number of permutations independent from others opened a world of possibilities to solve the equation of the number of viable permutations that a Rubik’s cube could have, which led to the team’s discovery. This new tool provided a practical advantage for those who needed it, such as professional Rubik’s cube players and mathematicians. However, they had to be mindful that the equation also took into consideration impossible answers unless the answer was halved</w:t>
      </w:r>
      <w:r w:rsidR="00C04139">
        <w:t xml:space="preserve"> </w:t>
      </w:r>
    </w:p>
    <w:p w14:paraId="04E10050" w14:textId="77777777" w:rsidR="000E629D" w:rsidRDefault="000E629D" w:rsidP="000E629D"/>
    <w:p w14:paraId="46D5AB38" w14:textId="77777777" w:rsidR="000E629D" w:rsidRDefault="000E629D" w:rsidP="000E629D">
      <w:r>
        <w:t xml:space="preserve">In the decades following Erno Rubik’s great invention, the idea of a short sequence to solve the Rubik’s cube was far outside of the realms of possibilities until abstract maths made an </w:t>
      </w:r>
      <w:r>
        <w:lastRenderedPageBreak/>
        <w:t xml:space="preserve">entrance. In the words of Rubik himself, “If you are curious, you’ll find the puzzles around you. If you are determined, you will solve them.” Through the determination and dedication of mathematicians and puzzlers, the question of how to move the cubes independently without having to disassemble the cube has been answered; all that humankind require is an understanding of abstract maths and a super-fast computer! </w:t>
      </w:r>
    </w:p>
    <w:p w14:paraId="642C406F" w14:textId="77777777" w:rsidR="00627CB9" w:rsidRDefault="001C7B72"/>
    <w:sectPr w:rsidR="00627CB9" w:rsidSect="00A42E7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0BFD62" w14:textId="77777777" w:rsidR="001C7B72" w:rsidRDefault="001C7B72" w:rsidP="000E629D">
      <w:r>
        <w:separator/>
      </w:r>
    </w:p>
  </w:endnote>
  <w:endnote w:type="continuationSeparator" w:id="0">
    <w:p w14:paraId="02F90330" w14:textId="77777777" w:rsidR="001C7B72" w:rsidRDefault="001C7B72" w:rsidP="000E6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FE12DE" w14:textId="77777777" w:rsidR="001C7B72" w:rsidRDefault="001C7B72" w:rsidP="000E629D">
      <w:r>
        <w:separator/>
      </w:r>
    </w:p>
  </w:footnote>
  <w:footnote w:type="continuationSeparator" w:id="0">
    <w:p w14:paraId="5F68B41E" w14:textId="77777777" w:rsidR="001C7B72" w:rsidRDefault="001C7B72" w:rsidP="000E629D">
      <w:r>
        <w:continuationSeparator/>
      </w:r>
    </w:p>
  </w:footnote>
  <w:footnote w:id="1">
    <w:p w14:paraId="52452E68" w14:textId="77777777" w:rsidR="000E629D" w:rsidRPr="008A69E7" w:rsidRDefault="000E629D" w:rsidP="000E629D">
      <w:pPr>
        <w:rPr>
          <w:rFonts w:ascii="Times New Roman" w:eastAsia="Times New Roman" w:hAnsi="Times New Roman" w:cs="Times New Roman"/>
          <w:lang w:eastAsia="en-GB"/>
        </w:rPr>
      </w:pPr>
      <w:r>
        <w:rPr>
          <w:rStyle w:val="FootnoteReference"/>
        </w:rPr>
        <w:footnoteRef/>
      </w:r>
      <w:r>
        <w:t xml:space="preserve"> </w:t>
      </w:r>
      <w:r w:rsidRPr="008A69E7">
        <w:rPr>
          <w:rFonts w:ascii="Times New Roman" w:eastAsia="Times New Roman" w:hAnsi="Times New Roman" w:cs="Times New Roman"/>
          <w:color w:val="000000"/>
          <w:lang w:eastAsia="en-GB"/>
        </w:rPr>
        <w:t>TED-Ed. “Group Theory 101: How to Play a Rubik’s Cube like a Piano - Michael Staff.” </w:t>
      </w:r>
      <w:r w:rsidRPr="008A69E7">
        <w:rPr>
          <w:rFonts w:ascii="Times New Roman" w:eastAsia="Times New Roman" w:hAnsi="Times New Roman" w:cs="Times New Roman"/>
          <w:i/>
          <w:iCs/>
          <w:color w:val="000000"/>
          <w:lang w:eastAsia="en-GB"/>
        </w:rPr>
        <w:t>YouTube</w:t>
      </w:r>
      <w:r w:rsidRPr="008A69E7">
        <w:rPr>
          <w:rFonts w:ascii="Times New Roman" w:eastAsia="Times New Roman" w:hAnsi="Times New Roman" w:cs="Times New Roman"/>
          <w:color w:val="000000"/>
          <w:lang w:eastAsia="en-GB"/>
        </w:rPr>
        <w:t xml:space="preserve">, uploaded by TED-ED, 2 Nov. 2015, </w:t>
      </w:r>
      <w:hyperlink r:id="rId1" w:history="1">
        <w:r w:rsidRPr="008A69E7">
          <w:rPr>
            <w:rFonts w:ascii="Times New Roman" w:eastAsia="Times New Roman" w:hAnsi="Times New Roman" w:cs="Times New Roman"/>
            <w:color w:val="000000"/>
            <w:u w:val="single"/>
            <w:lang w:eastAsia="en-GB"/>
          </w:rPr>
          <w:t>www.youtube.com/watch</w:t>
        </w:r>
      </w:hyperlink>
      <w:r w:rsidRPr="008A69E7">
        <w:rPr>
          <w:rFonts w:ascii="Times New Roman" w:eastAsia="Times New Roman" w:hAnsi="Times New Roman" w:cs="Times New Roman"/>
          <w:color w:val="000000"/>
          <w:lang w:eastAsia="en-GB"/>
        </w:rPr>
        <w:t>?v=FW2Hvs5WaRY.</w:t>
      </w:r>
    </w:p>
    <w:p w14:paraId="43121AC1" w14:textId="77777777" w:rsidR="000E629D" w:rsidRDefault="000E629D" w:rsidP="000E629D">
      <w:pPr>
        <w:pStyle w:val="FootnoteText"/>
      </w:pPr>
    </w:p>
  </w:footnote>
  <w:footnote w:id="2">
    <w:p w14:paraId="28994930" w14:textId="77777777" w:rsidR="000E629D" w:rsidRPr="00612E52" w:rsidRDefault="000E629D" w:rsidP="000E629D">
      <w:pPr>
        <w:rPr>
          <w:rFonts w:ascii="Times New Roman" w:eastAsia="Times New Roman" w:hAnsi="Times New Roman" w:cs="Times New Roman"/>
          <w:lang w:eastAsia="en-GB"/>
        </w:rPr>
      </w:pPr>
      <w:r>
        <w:rPr>
          <w:rStyle w:val="FootnoteReference"/>
        </w:rPr>
        <w:footnoteRef/>
      </w:r>
      <w:r w:rsidRPr="00612E52">
        <w:rPr>
          <w:rFonts w:ascii="Times New Roman" w:eastAsia="Times New Roman" w:hAnsi="Times New Roman" w:cs="Times New Roman"/>
          <w:color w:val="000000"/>
          <w:lang w:eastAsia="en-GB"/>
        </w:rPr>
        <w:t>LHeise, Ryan. “Laws of the Cube | Rubik’s Cube Theory.” </w:t>
      </w:r>
      <w:r w:rsidRPr="00612E52">
        <w:rPr>
          <w:rFonts w:ascii="Times New Roman" w:eastAsia="Times New Roman" w:hAnsi="Times New Roman" w:cs="Times New Roman"/>
          <w:i/>
          <w:iCs/>
          <w:color w:val="000000"/>
          <w:lang w:eastAsia="en-GB"/>
        </w:rPr>
        <w:t>Rubik’s Cube Theory</w:t>
      </w:r>
      <w:r w:rsidRPr="00612E52">
        <w:rPr>
          <w:rFonts w:ascii="Times New Roman" w:eastAsia="Times New Roman" w:hAnsi="Times New Roman" w:cs="Times New Roman"/>
          <w:color w:val="000000"/>
          <w:lang w:eastAsia="en-GB"/>
        </w:rPr>
        <w:t xml:space="preserve">, Ryan Heise, 2007, </w:t>
      </w:r>
      <w:hyperlink r:id="rId2" w:history="1">
        <w:r w:rsidRPr="00612E52">
          <w:rPr>
            <w:rFonts w:ascii="Times New Roman" w:eastAsia="Times New Roman" w:hAnsi="Times New Roman" w:cs="Times New Roman"/>
            <w:color w:val="000000"/>
            <w:u w:val="single"/>
            <w:lang w:eastAsia="en-GB"/>
          </w:rPr>
          <w:t>www.ryanheise.com/cube</w:t>
        </w:r>
      </w:hyperlink>
      <w:r w:rsidRPr="00612E52">
        <w:rPr>
          <w:rFonts w:ascii="Times New Roman" w:eastAsia="Times New Roman" w:hAnsi="Times New Roman" w:cs="Times New Roman"/>
          <w:color w:val="000000"/>
          <w:lang w:eastAsia="en-GB"/>
        </w:rPr>
        <w:t>/cube_laws.html.</w:t>
      </w:r>
    </w:p>
    <w:p w14:paraId="1B997F92" w14:textId="77777777" w:rsidR="000E629D" w:rsidRDefault="000E629D" w:rsidP="000E629D">
      <w:pPr>
        <w:pStyle w:val="FootnoteText"/>
      </w:pPr>
    </w:p>
  </w:footnote>
  <w:footnote w:id="3">
    <w:p w14:paraId="6ABFC24D" w14:textId="77777777" w:rsidR="000E629D" w:rsidRDefault="000E629D" w:rsidP="000E629D">
      <w:pPr>
        <w:rPr>
          <w:rFonts w:ascii="Times New Roman" w:eastAsia="Times New Roman" w:hAnsi="Times New Roman" w:cs="Times New Roman"/>
          <w:color w:val="000000"/>
          <w:lang w:eastAsia="en-GB"/>
        </w:rPr>
      </w:pPr>
      <w:r>
        <w:rPr>
          <w:rStyle w:val="FootnoteReference"/>
        </w:rPr>
        <w:footnoteRef/>
      </w:r>
      <w:r>
        <w:t xml:space="preserve"> </w:t>
      </w:r>
      <w:r w:rsidRPr="008A69E7">
        <w:rPr>
          <w:rFonts w:ascii="Times New Roman" w:eastAsia="Times New Roman" w:hAnsi="Times New Roman" w:cs="Times New Roman"/>
          <w:color w:val="000000"/>
          <w:lang w:eastAsia="en-GB"/>
        </w:rPr>
        <w:t>Cormen, Thomas, and Devin Balkcom. “The Factorial Function (Article).” </w:t>
      </w:r>
      <w:r w:rsidRPr="008A69E7">
        <w:rPr>
          <w:rFonts w:ascii="Times New Roman" w:eastAsia="Times New Roman" w:hAnsi="Times New Roman" w:cs="Times New Roman"/>
          <w:i/>
          <w:iCs/>
          <w:color w:val="000000"/>
          <w:lang w:eastAsia="en-GB"/>
        </w:rPr>
        <w:t>Khan Academy</w:t>
      </w:r>
      <w:r w:rsidRPr="008A69E7">
        <w:rPr>
          <w:rFonts w:ascii="Times New Roman" w:eastAsia="Times New Roman" w:hAnsi="Times New Roman" w:cs="Times New Roman"/>
          <w:color w:val="000000"/>
          <w:lang w:eastAsia="en-GB"/>
        </w:rPr>
        <w:t>, www.khanacademy.org/computing/computer-science/algorithms/recursive-algorithms/a/the-factorial-function. Accessed 27 Feb. 2021.</w:t>
      </w:r>
    </w:p>
    <w:p w14:paraId="598E0200" w14:textId="77777777" w:rsidR="000E629D" w:rsidRPr="008A69E7" w:rsidRDefault="000E629D" w:rsidP="000E629D">
      <w:pPr>
        <w:rPr>
          <w:rFonts w:ascii="Times New Roman" w:eastAsia="Times New Roman" w:hAnsi="Times New Roman" w:cs="Times New Roman"/>
          <w:lang w:eastAsia="en-GB"/>
        </w:rPr>
      </w:pPr>
    </w:p>
    <w:p w14:paraId="37EFA7C5" w14:textId="77777777" w:rsidR="000E629D" w:rsidRDefault="000E629D" w:rsidP="000E629D">
      <w:pPr>
        <w:pStyle w:val="FootnoteText"/>
      </w:pPr>
    </w:p>
  </w:footnote>
  <w:footnote w:id="4">
    <w:p w14:paraId="00040E61" w14:textId="77777777" w:rsidR="000E629D" w:rsidRPr="00DE570B" w:rsidRDefault="000E629D" w:rsidP="000E629D">
      <w:pPr>
        <w:rPr>
          <w:rFonts w:ascii="Times New Roman" w:eastAsia="Times New Roman" w:hAnsi="Times New Roman" w:cs="Times New Roman"/>
          <w:lang w:eastAsia="en-GB"/>
        </w:rPr>
      </w:pPr>
      <w:r>
        <w:rPr>
          <w:rStyle w:val="FootnoteReference"/>
        </w:rPr>
        <w:footnoteRef/>
      </w:r>
      <w:r>
        <w:t xml:space="preserve"> </w:t>
      </w:r>
      <w:r w:rsidRPr="00DE570B">
        <w:rPr>
          <w:rFonts w:ascii="Times New Roman" w:eastAsia="Times New Roman" w:hAnsi="Times New Roman" w:cs="Times New Roman"/>
          <w:color w:val="000000"/>
          <w:lang w:eastAsia="en-GB"/>
        </w:rPr>
        <w:t>Ferenc, Dénes. “God’s Number - Looking for the Optimal Rubik’s Cube Solution.” </w:t>
      </w:r>
      <w:r w:rsidRPr="00DE570B">
        <w:rPr>
          <w:rFonts w:ascii="Times New Roman" w:eastAsia="Times New Roman" w:hAnsi="Times New Roman" w:cs="Times New Roman"/>
          <w:i/>
          <w:iCs/>
          <w:color w:val="000000"/>
          <w:lang w:eastAsia="en-GB"/>
        </w:rPr>
        <w:t>God’s Number</w:t>
      </w:r>
      <w:r w:rsidRPr="00DE570B">
        <w:rPr>
          <w:rFonts w:ascii="Times New Roman" w:eastAsia="Times New Roman" w:hAnsi="Times New Roman" w:cs="Times New Roman"/>
          <w:color w:val="000000"/>
          <w:lang w:eastAsia="en-GB"/>
        </w:rPr>
        <w:t>, Ruwix, ruwix.com/the-rubiks-cube/gods-number. Accessed 27 Feb. 2021.</w:t>
      </w:r>
    </w:p>
    <w:p w14:paraId="36A8629A" w14:textId="77777777" w:rsidR="000E629D" w:rsidRDefault="000E629D" w:rsidP="000E629D">
      <w:pPr>
        <w:pStyle w:val="FootnoteText"/>
      </w:pPr>
    </w:p>
  </w:footnote>
  <w:footnote w:id="5">
    <w:p w14:paraId="74DB6CBC" w14:textId="77777777" w:rsidR="000E629D" w:rsidRDefault="000E629D" w:rsidP="000E629D">
      <w:pPr>
        <w:pStyle w:val="NormalWeb"/>
        <w:spacing w:line="480" w:lineRule="atLeast"/>
        <w:ind w:left="720" w:hanging="720"/>
        <w:rPr>
          <w:color w:val="000000"/>
        </w:rPr>
      </w:pPr>
      <w:r>
        <w:rPr>
          <w:rStyle w:val="FootnoteReference"/>
        </w:rPr>
        <w:footnoteRef/>
      </w:r>
      <w:r>
        <w:t xml:space="preserve"> </w:t>
      </w:r>
      <w:r>
        <w:rPr>
          <w:color w:val="000000"/>
        </w:rPr>
        <w:t>GridRepublic. “GFlops, G-Hours, and CPU Hours - Grid.”</w:t>
      </w:r>
      <w:r>
        <w:rPr>
          <w:rStyle w:val="apple-converted-space"/>
          <w:color w:val="000000"/>
        </w:rPr>
        <w:t> </w:t>
      </w:r>
      <w:r>
        <w:rPr>
          <w:i/>
          <w:iCs/>
          <w:color w:val="000000"/>
        </w:rPr>
        <w:t>GridRepublic</w:t>
      </w:r>
      <w:r>
        <w:rPr>
          <w:color w:val="000000"/>
        </w:rPr>
        <w:t>, 2009, www.gridrepublic.org/joomla/components/com_mambowiki/index.php/GFlops,_G-hours,_and_CPU_hours.</w:t>
      </w:r>
    </w:p>
    <w:p w14:paraId="20E7583E" w14:textId="77777777" w:rsidR="000E629D" w:rsidRDefault="000E629D" w:rsidP="000E629D">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29D"/>
    <w:rsid w:val="000E629D"/>
    <w:rsid w:val="00167A65"/>
    <w:rsid w:val="001C7B72"/>
    <w:rsid w:val="00A42E75"/>
    <w:rsid w:val="00A93F09"/>
    <w:rsid w:val="00C041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51BBDE"/>
  <w15:chartTrackingRefBased/>
  <w15:docId w15:val="{53C77AAF-1870-E841-8F5B-16FA9DA1C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2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629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E629D"/>
    <w:rPr>
      <w:rFonts w:ascii="Times New Roman" w:hAnsi="Times New Roman" w:cs="Times New Roman"/>
      <w:sz w:val="18"/>
      <w:szCs w:val="18"/>
    </w:rPr>
  </w:style>
  <w:style w:type="paragraph" w:styleId="FootnoteText">
    <w:name w:val="footnote text"/>
    <w:basedOn w:val="Normal"/>
    <w:link w:val="FootnoteTextChar"/>
    <w:uiPriority w:val="99"/>
    <w:semiHidden/>
    <w:unhideWhenUsed/>
    <w:rsid w:val="000E629D"/>
    <w:rPr>
      <w:sz w:val="20"/>
      <w:szCs w:val="20"/>
    </w:rPr>
  </w:style>
  <w:style w:type="character" w:customStyle="1" w:styleId="FootnoteTextChar">
    <w:name w:val="Footnote Text Char"/>
    <w:basedOn w:val="DefaultParagraphFont"/>
    <w:link w:val="FootnoteText"/>
    <w:uiPriority w:val="99"/>
    <w:semiHidden/>
    <w:rsid w:val="000E629D"/>
    <w:rPr>
      <w:sz w:val="20"/>
      <w:szCs w:val="20"/>
    </w:rPr>
  </w:style>
  <w:style w:type="character" w:styleId="FootnoteReference">
    <w:name w:val="footnote reference"/>
    <w:basedOn w:val="DefaultParagraphFont"/>
    <w:uiPriority w:val="99"/>
    <w:semiHidden/>
    <w:unhideWhenUsed/>
    <w:rsid w:val="000E629D"/>
    <w:rPr>
      <w:vertAlign w:val="superscript"/>
    </w:rPr>
  </w:style>
  <w:style w:type="paragraph" w:styleId="NormalWeb">
    <w:name w:val="Normal (Web)"/>
    <w:basedOn w:val="Normal"/>
    <w:uiPriority w:val="99"/>
    <w:semiHidden/>
    <w:unhideWhenUsed/>
    <w:rsid w:val="000E629D"/>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0E629D"/>
  </w:style>
  <w:style w:type="paragraph" w:styleId="Title">
    <w:name w:val="Title"/>
    <w:basedOn w:val="Normal"/>
    <w:next w:val="Normal"/>
    <w:link w:val="TitleChar"/>
    <w:uiPriority w:val="10"/>
    <w:qFormat/>
    <w:rsid w:val="000E629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629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www.ryanheise.com/cube" TargetMode="External"/><Relationship Id="rId1" Type="http://schemas.openxmlformats.org/officeDocument/2006/relationships/hyperlink" Target="http://www.youtube.com/wat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1304</Words>
  <Characters>7439</Characters>
  <Application>Microsoft Office Word</Application>
  <DocSecurity>0</DocSecurity>
  <Lines>61</Lines>
  <Paragraphs>17</Paragraphs>
  <ScaleCrop>false</ScaleCrop>
  <Company/>
  <LinksUpToDate>false</LinksUpToDate>
  <CharactersWithSpaces>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lake</dc:creator>
  <cp:keywords/>
  <dc:description/>
  <cp:lastModifiedBy>victoria lake</cp:lastModifiedBy>
  <cp:revision>2</cp:revision>
  <dcterms:created xsi:type="dcterms:W3CDTF">2021-03-09T11:07:00Z</dcterms:created>
  <dcterms:modified xsi:type="dcterms:W3CDTF">2021-03-22T16:12:00Z</dcterms:modified>
</cp:coreProperties>
</file>