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Title: "Fibonacci Unleashed: Deciphering Nature's Hidden Code"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Introduction:</w:t>
      </w:r>
    </w:p>
    <w:p w:rsidR="00000000" w:rsidDel="00000000" w:rsidP="00000000" w:rsidRDefault="00000000" w:rsidRPr="00000000" w14:paraId="00000006">
      <w:pPr>
        <w:rPr/>
      </w:pPr>
      <w:r w:rsidDel="00000000" w:rsidR="00000000" w:rsidRPr="00000000">
        <w:rPr>
          <w:rtl w:val="0"/>
        </w:rPr>
        <w:t xml:space="preserve">In the captivating realm of mathematics, the mysterious Fibonacci sequence beckons exploration—a complex tapestry woven by inquisitive minds. Originating from the musings of Fibonacci in the 13th century, this numerical enigma conceals a symphony of patterns awaiting unravelling. This essay seeks to demystify the allure of Fibonacci numbers for a general audience, shedding light on their significance and the profound impact they exert on our comprehension of both mathematics and the natural world.</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A Journey Back in Time: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The narrative begins with Fibonacci's exploration of the hypothetical growth of a rabbit population—a seemingly innocuous entry into the world of sequences. The sequence, where each number is the sum of the two preceding ones (0, 1, 1, 2, 3, 5, 8, 13, and so forth), serves as the starting point for a historical and mathematical expedition.</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   Fibonacci's initial foray into this sequence sets the stage for understanding its implications, marking the inception of a journey that transcends time. As we delve deeper into the historical context, we uncover the significance of Fibonacci's work in laying the groundwork for future mathematical explorations.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 Intricacies of Harmony and the Golden Ratio:</w:t>
      </w:r>
    </w:p>
    <w:p w:rsidR="00000000" w:rsidDel="00000000" w:rsidP="00000000" w:rsidRDefault="00000000" w:rsidRPr="00000000" w14:paraId="00000011">
      <w:pPr>
        <w:rPr/>
      </w:pPr>
      <w:r w:rsidDel="00000000" w:rsidR="00000000" w:rsidRPr="00000000">
        <w:rPr>
          <w:rtl w:val="0"/>
        </w:rPr>
        <w:t xml:space="preserve"> The Fibonacci sequence, far from being a mere numerical list, unfolds its charm through the mesmerising harmony of its ratios. Traversing along the sequence reveals a convergence to the elusive golden ratio, approximately 1.618. This proportion, found in diverse realms such as art, architecture, and nature, unveils the pervasive influence of mathematical elegance.</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To truly appreciate the intricacies of this phenomenon, we delve into the mathematical underpinnings of the golden ratio. Exploring its presence in ancient architecture, artistic masterpieces, and the natural world, we gain a deeper understanding of the universal appeal of this mathematical constant.</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Symphony in Nature's Patterns:</w:t>
      </w:r>
    </w:p>
    <w:p w:rsidR="00000000" w:rsidDel="00000000" w:rsidP="00000000" w:rsidRDefault="00000000" w:rsidRPr="00000000" w14:paraId="00000016">
      <w:pPr>
        <w:rPr/>
      </w:pPr>
      <w:r w:rsidDel="00000000" w:rsidR="00000000" w:rsidRPr="00000000">
        <w:rPr>
          <w:rtl w:val="0"/>
        </w:rPr>
        <w:t xml:space="preserve">Nature, the ultimate surreptitious mathematician, skillfully incorporates the Fibonacci sequence into its designs. The spiral patterns of pinecones, the graceful spirals of seashells, and the captivating formations in sunflowers all bow to the rhythm of Fibonacci, creating an intricate symphony of numerical precision in the natural world.</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As we explore specific examples in nature, such as the arrangement of leaves on a stem or the spirals in pinecones, we unravel the underlying mathematical principles that govern these patterns. This exploration not only enhances our appreciation for the beauty of nature but also underscores the profound connection between mathematics and the organic world.</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Beyond Classroom Walls:</w:t>
      </w:r>
    </w:p>
    <w:p w:rsidR="00000000" w:rsidDel="00000000" w:rsidP="00000000" w:rsidRDefault="00000000" w:rsidRPr="00000000" w14:paraId="0000001B">
      <w:pPr>
        <w:rPr/>
      </w:pPr>
      <w:r w:rsidDel="00000000" w:rsidR="00000000" w:rsidRPr="00000000">
        <w:rPr>
          <w:rtl w:val="0"/>
        </w:rPr>
        <w:t xml:space="preserve">The significance of unravelling the mysteries of Fibonacci extends far beyond the structured confines of a classroom. Encouraging high-school students to embark on this mathematical adventure serves as a portal to a deeper understanding of the interconnectedness between mathematics and the world.</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To emphasise this point, we delve into the experiences of students who have engaged in Fibonacci-related projects or competitions. By immersing themselves in the beauty of Fibonacci, students not only grasp mathematical concepts but also nurture a sense of awe and curiosity about the hidden mathematical foundations that shape our surroundings.</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Conclusion:</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In the grand panorama of mathematical discovery, the Teddy Rocks Maths Essay Competition provides an unparalleled stage for high-school students to venture into the captivating realm of Fibonacci sequences. This exploration is not confined to the realm of abstract numerical fascination but extends into a profound appreciation for the intricate dance between mathematics and the natural world.</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By empowering students to articulate complex ideas in accessible ways, we foster a generation that not only comprehends the elegance of mathematics but also marvels at its ubiquitous presence in our daily lives. Embracing the enigma of Fibonacci, we find ourselves immersed in the silent symphony of nature's cryptic mathematical code, cultivating a lifelong love for the beauty and intrigue of mathematical exploration.</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